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0B0D1" w14:textId="1BC587A2" w:rsidR="0059747D" w:rsidRDefault="00080329" w:rsidP="00AC0B5B">
      <w:pPr>
        <w:pStyle w:val="BODYMIAX"/>
        <w:sectPr w:rsidR="0059747D" w:rsidSect="009A7638">
          <w:headerReference w:type="default" r:id="rId8"/>
          <w:footerReference w:type="even" r:id="rId9"/>
          <w:footerReference w:type="default" r:id="rId10"/>
          <w:pgSz w:w="12240" w:h="15840"/>
          <w:pgMar w:top="2203" w:right="907" w:bottom="1440" w:left="907" w:header="648" w:footer="144" w:gutter="0"/>
          <w:cols w:space="720"/>
          <w:docGrid w:linePitch="360"/>
        </w:sectPr>
      </w:pPr>
      <w:r>
        <w:rPr>
          <w:noProof/>
        </w:rPr>
        <mc:AlternateContent>
          <mc:Choice Requires="wps">
            <w:drawing>
              <wp:anchor distT="0" distB="0" distL="114300" distR="114300" simplePos="0" relativeHeight="251659776" behindDoc="0" locked="0" layoutInCell="1" allowOverlap="1" wp14:anchorId="031B9696" wp14:editId="7C4212A1">
                <wp:simplePos x="0" y="0"/>
                <wp:positionH relativeFrom="margin">
                  <wp:align>left</wp:align>
                </wp:positionH>
                <wp:positionV relativeFrom="paragraph">
                  <wp:posOffset>6611620</wp:posOffset>
                </wp:positionV>
                <wp:extent cx="6237838" cy="1656080"/>
                <wp:effectExtent l="0" t="0" r="1079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7838" cy="1656080"/>
                        </a:xfrm>
                        <a:prstGeom prst="rect">
                          <a:avLst/>
                        </a:prstGeom>
                        <a:noFill/>
                        <a:ln w="6350">
                          <a:noFill/>
                        </a:ln>
                      </wps:spPr>
                      <wps:txbx>
                        <w:txbxContent>
                          <w:p w14:paraId="18E18A6A" w14:textId="4CD5A2D4" w:rsidR="009748AD" w:rsidRDefault="009748AD" w:rsidP="00080329">
                            <w:pPr>
                              <w:ind w:right="360"/>
                              <w:jc w:val="both"/>
                              <w:rPr>
                                <w:rFonts w:cs="Arial"/>
                                <w:b/>
                                <w:color w:val="414041" w:themeColor="text1"/>
                                <w:sz w:val="22"/>
                                <w:szCs w:val="22"/>
                              </w:rPr>
                            </w:pPr>
                            <w:r w:rsidRPr="008416F1">
                              <w:rPr>
                                <w:rFonts w:cs="Arial"/>
                                <w:b/>
                                <w:color w:val="414041" w:themeColor="text1"/>
                                <w:sz w:val="22"/>
                                <w:szCs w:val="22"/>
                              </w:rPr>
                              <w:t xml:space="preserve">All </w:t>
                            </w:r>
                            <w:r w:rsidRPr="00080329">
                              <w:rPr>
                                <w:rFonts w:cs="Arial"/>
                                <w:b/>
                                <w:color w:val="414041" w:themeColor="text1"/>
                                <w:sz w:val="22"/>
                                <w:szCs w:val="22"/>
                              </w:rPr>
                              <w:t xml:space="preserve">Exchange invoices are due in full on a timely basis and payable in accordance with MIAX </w:t>
                            </w:r>
                            <w:r>
                              <w:rPr>
                                <w:rFonts w:cs="Arial"/>
                                <w:b/>
                                <w:color w:val="414041" w:themeColor="text1"/>
                                <w:sz w:val="22"/>
                                <w:szCs w:val="22"/>
                              </w:rPr>
                              <w:t>Pearl</w:t>
                            </w:r>
                            <w:r w:rsidRPr="00080329">
                              <w:rPr>
                                <w:rFonts w:cs="Arial"/>
                                <w:b/>
                                <w:color w:val="414041" w:themeColor="text1"/>
                                <w:sz w:val="22"/>
                                <w:szCs w:val="22"/>
                              </w:rPr>
                              <w:t xml:space="preserve"> Equities Rule 3002(b).  All disputes related to fees, dues or other charges must be submitted to the Exchange in writing no later than sixty (60) days after the date of the monthly invoice and must be accompanied by supporting documentation.</w:t>
                            </w:r>
                          </w:p>
                          <w:p w14:paraId="3AD48166" w14:textId="77777777" w:rsidR="009748AD" w:rsidRPr="00080329" w:rsidRDefault="009748AD" w:rsidP="00080329">
                            <w:pPr>
                              <w:ind w:right="360"/>
                              <w:jc w:val="both"/>
                              <w:rPr>
                                <w:rFonts w:cs="Arial"/>
                                <w:b/>
                                <w:color w:val="414041" w:themeColor="text1"/>
                                <w:sz w:val="22"/>
                                <w:szCs w:val="22"/>
                              </w:rPr>
                            </w:pPr>
                          </w:p>
                          <w:p w14:paraId="5D17A0CC" w14:textId="77777777" w:rsidR="009748AD" w:rsidRPr="00F819F5" w:rsidRDefault="009748AD" w:rsidP="00F819F5">
                            <w:pPr>
                              <w:ind w:right="360"/>
                              <w:jc w:val="both"/>
                              <w:rPr>
                                <w:rFonts w:asciiTheme="majorHAnsi" w:hAnsiTheme="majorHAnsi" w:cstheme="majorHAnsi"/>
                                <w:b/>
                                <w:color w:val="414041" w:themeColor="text1"/>
                                <w:sz w:val="22"/>
                                <w:szCs w:val="22"/>
                              </w:rPr>
                            </w:pPr>
                            <w:r w:rsidRPr="00F819F5">
                              <w:rPr>
                                <w:rFonts w:asciiTheme="majorHAnsi" w:hAnsiTheme="majorHAnsi" w:cstheme="majorHAnsi"/>
                                <w:b/>
                                <w:color w:val="414041" w:themeColor="text1"/>
                                <w:sz w:val="22"/>
                                <w:szCs w:val="22"/>
                              </w:rPr>
                              <w:t>All fees and rebates assessed prior to the three full calendar months before the month in which the Exchange becomes aware of a billing error shall be considered final.</w:t>
                            </w:r>
                          </w:p>
                          <w:p w14:paraId="1C862189" w14:textId="77777777" w:rsidR="009748AD" w:rsidRDefault="009748AD" w:rsidP="00CD1FFC">
                            <w:pPr>
                              <w:spacing w:line="276" w:lineRule="auto"/>
                              <w:rPr>
                                <w:rFonts w:cs="Arial"/>
                                <w:color w:val="414041" w:themeColor="text1"/>
                                <w:sz w:val="14"/>
                                <w:szCs w:val="14"/>
                              </w:rPr>
                            </w:pPr>
                          </w:p>
                          <w:p w14:paraId="4102B9A0" w14:textId="77777777" w:rsidR="009748AD" w:rsidRDefault="009748AD" w:rsidP="00CD1FFC">
                            <w:pPr>
                              <w:spacing w:line="276" w:lineRule="auto"/>
                              <w:rPr>
                                <w:rFonts w:cs="Arial"/>
                                <w:color w:val="414041" w:themeColor="text1"/>
                                <w:sz w:val="14"/>
                                <w:szCs w:val="14"/>
                              </w:rPr>
                            </w:pPr>
                          </w:p>
                          <w:p w14:paraId="4B18E9E8" w14:textId="443BB104" w:rsidR="009748AD" w:rsidRPr="004B5931" w:rsidRDefault="009748AD" w:rsidP="00CD1FFC">
                            <w:pPr>
                              <w:spacing w:line="276" w:lineRule="auto"/>
                              <w:rPr>
                                <w:rFonts w:cs="Arial"/>
                                <w:color w:val="414041" w:themeColor="text1"/>
                                <w:sz w:val="14"/>
                                <w:szCs w:val="14"/>
                              </w:rPr>
                            </w:pPr>
                            <w:r w:rsidRPr="004B5931">
                              <w:rPr>
                                <w:rFonts w:cs="Arial"/>
                                <w:color w:val="414041" w:themeColor="text1"/>
                                <w:sz w:val="14"/>
                                <w:szCs w:val="14"/>
                              </w:rPr>
                              <w:t>© 2021 Miami International Holdings, Inc. and its subsidiaries. All Rights Reserved.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31B9696" id="_x0000_t202" coordsize="21600,21600" o:spt="202" path="m,l,21600r21600,l21600,xe">
                <v:stroke joinstyle="miter"/>
                <v:path gradientshapeok="t" o:connecttype="rect"/>
              </v:shapetype>
              <v:shape id="Text Box 2" o:spid="_x0000_s1026" type="#_x0000_t202" style="position:absolute;margin-left:0;margin-top:520.6pt;width:491.15pt;height:130.4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" filled="f" stroked="f" strokeweight=".5pt">
                <v:path arrowok="t"/>
                <v:textbox inset="0,0,0,0">
                  <w:txbxContent>
                    <w:p w14:paraId="18E18A6A" w14:textId="4CD5A2D4" w:rsidR="009748AD" w:rsidRDefault="009748AD" w:rsidP="00080329">
                      <w:pPr>
                        <w:ind w:right="360"/>
                        <w:jc w:val="both"/>
                        <w:rPr>
                          <w:rFonts w:cs="Arial"/>
                          <w:b/>
                          <w:color w:val="414041" w:themeColor="text1"/>
                          <w:sz w:val="22"/>
                          <w:szCs w:val="22"/>
                        </w:rPr>
                      </w:pPr>
                      <w:r w:rsidRPr="008416F1">
                        <w:rPr>
                          <w:rFonts w:cs="Arial"/>
                          <w:b/>
                          <w:color w:val="414041" w:themeColor="text1"/>
                          <w:sz w:val="22"/>
                          <w:szCs w:val="22"/>
                        </w:rPr>
                        <w:t xml:space="preserve">All </w:t>
                      </w:r>
                      <w:r w:rsidRPr="00080329">
                        <w:rPr>
                          <w:rFonts w:cs="Arial"/>
                          <w:b/>
                          <w:color w:val="414041" w:themeColor="text1"/>
                          <w:sz w:val="22"/>
                          <w:szCs w:val="22"/>
                        </w:rPr>
                        <w:t xml:space="preserve">Exchange invoices are due in full on a timely basis and payable in accordance with MIAX </w:t>
                      </w:r>
                      <w:r>
                        <w:rPr>
                          <w:rFonts w:cs="Arial"/>
                          <w:b/>
                          <w:color w:val="414041" w:themeColor="text1"/>
                          <w:sz w:val="22"/>
                          <w:szCs w:val="22"/>
                        </w:rPr>
                        <w:t>Pearl</w:t>
                      </w:r>
                      <w:r w:rsidRPr="00080329">
                        <w:rPr>
                          <w:rFonts w:cs="Arial"/>
                          <w:b/>
                          <w:color w:val="414041" w:themeColor="text1"/>
                          <w:sz w:val="22"/>
                          <w:szCs w:val="22"/>
                        </w:rPr>
                        <w:t xml:space="preserve"> Equities Rule 3002(b).  All disputes related to fees, dues or other charges must be submitted to the Exchange in writing no later than sixty (60) days after the date of the monthly invoice and must be accompanied by supporting documentation.</w:t>
                      </w:r>
                    </w:p>
                    <w:p w14:paraId="3AD48166" w14:textId="77777777" w:rsidR="009748AD" w:rsidRPr="00080329" w:rsidRDefault="009748AD" w:rsidP="00080329">
                      <w:pPr>
                        <w:ind w:right="360"/>
                        <w:jc w:val="both"/>
                        <w:rPr>
                          <w:rFonts w:cs="Arial"/>
                          <w:b/>
                          <w:color w:val="414041" w:themeColor="text1"/>
                          <w:sz w:val="22"/>
                          <w:szCs w:val="22"/>
                        </w:rPr>
                      </w:pPr>
                    </w:p>
                    <w:p w14:paraId="5D17A0CC" w14:textId="77777777" w:rsidR="009748AD" w:rsidRPr="00F819F5" w:rsidRDefault="009748AD" w:rsidP="00F819F5">
                      <w:pPr>
                        <w:ind w:right="360"/>
                        <w:jc w:val="both"/>
                        <w:rPr>
                          <w:rFonts w:asciiTheme="majorHAnsi" w:hAnsiTheme="majorHAnsi" w:cstheme="majorHAnsi"/>
                          <w:b/>
                          <w:color w:val="414041" w:themeColor="text1"/>
                          <w:sz w:val="22"/>
                          <w:szCs w:val="22"/>
                        </w:rPr>
                      </w:pPr>
                      <w:r w:rsidRPr="00F819F5">
                        <w:rPr>
                          <w:rFonts w:asciiTheme="majorHAnsi" w:hAnsiTheme="majorHAnsi" w:cstheme="majorHAnsi"/>
                          <w:b/>
                          <w:color w:val="414041" w:themeColor="text1"/>
                          <w:sz w:val="22"/>
                          <w:szCs w:val="22"/>
                        </w:rPr>
                        <w:t>All fees and rebates assessed prior to the three full calendar months before the month in which the Exchange becomes aware of a billing error shall be considered final.</w:t>
                      </w:r>
                    </w:p>
                    <w:p w14:paraId="1C862189" w14:textId="77777777" w:rsidR="009748AD" w:rsidRDefault="009748AD" w:rsidP="00CD1FFC">
                      <w:pPr>
                        <w:spacing w:line="276" w:lineRule="auto"/>
                        <w:rPr>
                          <w:rFonts w:cs="Arial"/>
                          <w:color w:val="414041" w:themeColor="text1"/>
                          <w:sz w:val="14"/>
                          <w:szCs w:val="14"/>
                        </w:rPr>
                      </w:pPr>
                    </w:p>
                    <w:p w14:paraId="4102B9A0" w14:textId="77777777" w:rsidR="009748AD" w:rsidRDefault="009748AD" w:rsidP="00CD1FFC">
                      <w:pPr>
                        <w:spacing w:line="276" w:lineRule="auto"/>
                        <w:rPr>
                          <w:rFonts w:cs="Arial"/>
                          <w:color w:val="414041" w:themeColor="text1"/>
                          <w:sz w:val="14"/>
                          <w:szCs w:val="14"/>
                        </w:rPr>
                      </w:pPr>
                    </w:p>
                    <w:p w14:paraId="4B18E9E8" w14:textId="443BB104" w:rsidR="009748AD" w:rsidRPr="004B5931" w:rsidRDefault="009748AD" w:rsidP="00CD1FFC">
                      <w:pPr>
                        <w:spacing w:line="276" w:lineRule="auto"/>
                        <w:rPr>
                          <w:rFonts w:cs="Arial"/>
                          <w:color w:val="414041" w:themeColor="text1"/>
                          <w:sz w:val="14"/>
                          <w:szCs w:val="14"/>
                        </w:rPr>
                      </w:pPr>
                      <w:r w:rsidRPr="004B5931">
                        <w:rPr>
                          <w:rFonts w:cs="Arial"/>
                          <w:color w:val="414041" w:themeColor="text1"/>
                          <w:sz w:val="14"/>
                          <w:szCs w:val="14"/>
                        </w:rPr>
                        <w:t>© 2021 Miami International Holdings, Inc. and its subsidiaries. All Rights Reserved.</w:t>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20048C21" wp14:editId="5477DB21">
                <wp:simplePos x="0" y="0"/>
                <wp:positionH relativeFrom="column">
                  <wp:posOffset>12291</wp:posOffset>
                </wp:positionH>
                <wp:positionV relativeFrom="paragraph">
                  <wp:posOffset>3715725</wp:posOffset>
                </wp:positionV>
                <wp:extent cx="1620570" cy="393065"/>
                <wp:effectExtent l="0" t="0" r="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0570" cy="393065"/>
                        </a:xfrm>
                        <a:prstGeom prst="rect">
                          <a:avLst/>
                        </a:prstGeom>
                        <a:noFill/>
                        <a:ln w="6350">
                          <a:noFill/>
                        </a:ln>
                      </wps:spPr>
                      <wps:txbx>
                        <w:txbxContent>
                          <w:p w14:paraId="08DD66AC" w14:textId="6CBEB2D3" w:rsidR="009748AD" w:rsidRPr="006E1BB0" w:rsidRDefault="009748AD" w:rsidP="00CD1FFC">
                            <w:pPr>
                              <w:rPr>
                                <w:rFonts w:cs="Arial"/>
                                <w:b/>
                                <w:bCs/>
                                <w:color w:val="414041" w:themeColor="text1"/>
                                <w:sz w:val="36"/>
                                <w:szCs w:val="36"/>
                              </w:rPr>
                            </w:pPr>
                            <w:r w:rsidRPr="006E1BB0">
                              <w:rPr>
                                <w:rFonts w:cs="Arial"/>
                                <w:b/>
                                <w:bCs/>
                                <w:color w:val="414041" w:themeColor="text1"/>
                                <w:sz w:val="18"/>
                                <w:szCs w:val="18"/>
                              </w:rPr>
                              <w:t>A</w:t>
                            </w:r>
                            <w:r w:rsidR="008C7874">
                              <w:rPr>
                                <w:rFonts w:cs="Arial"/>
                                <w:b/>
                                <w:bCs/>
                                <w:color w:val="414041" w:themeColor="text1"/>
                                <w:sz w:val="18"/>
                                <w:szCs w:val="18"/>
                              </w:rPr>
                              <w:t xml:space="preserve">s of </w:t>
                            </w:r>
                            <w:r w:rsidR="006E3548">
                              <w:rPr>
                                <w:rFonts w:cs="Arial"/>
                                <w:b/>
                                <w:bCs/>
                                <w:color w:val="414041" w:themeColor="text1"/>
                                <w:sz w:val="18"/>
                                <w:szCs w:val="18"/>
                              </w:rPr>
                              <w:t>September 1</w:t>
                            </w:r>
                            <w:r>
                              <w:rPr>
                                <w:rFonts w:cs="Arial"/>
                                <w:b/>
                                <w:bCs/>
                                <w:color w:val="414041" w:themeColor="text1"/>
                                <w:sz w:val="18"/>
                                <w:szCs w:val="18"/>
                              </w:rPr>
                              <w:t>, 2022</w:t>
                            </w:r>
                          </w:p>
                          <w:p w14:paraId="30B879A6" w14:textId="77777777" w:rsidR="009748AD" w:rsidRPr="006E1BB0" w:rsidRDefault="009748AD" w:rsidP="00CD1FFC">
                            <w:pPr>
                              <w:rPr>
                                <w:rFonts w:cs="Arial"/>
                                <w:b/>
                                <w:bCs/>
                                <w:color w:val="414041"/>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48C21" id="_x0000_t202" coordsize="21600,21600" o:spt="202" path="m,l,21600r21600,l21600,xe">
                <v:stroke joinstyle="miter"/>
                <v:path gradientshapeok="t" o:connecttype="rect"/>
              </v:shapetype>
              <v:shape id="Text Box 27" o:spid="_x0000_s1027" type="#_x0000_t202" style="position:absolute;margin-left:.95pt;margin-top:292.6pt;width:127.6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" filled="f" stroked="f" strokeweight=".5pt">
                <v:path arrowok="t"/>
                <v:textbox inset="0,0,0,0">
                  <w:txbxContent>
                    <w:p w14:paraId="08DD66AC" w14:textId="6CBEB2D3" w:rsidR="009748AD" w:rsidRPr="006E1BB0" w:rsidRDefault="009748AD" w:rsidP="00CD1FFC">
                      <w:pPr>
                        <w:rPr>
                          <w:rFonts w:cs="Arial"/>
                          <w:b/>
                          <w:bCs/>
                          <w:color w:val="414041" w:themeColor="text1"/>
                          <w:sz w:val="36"/>
                          <w:szCs w:val="36"/>
                        </w:rPr>
                      </w:pPr>
                      <w:r w:rsidRPr="006E1BB0">
                        <w:rPr>
                          <w:rFonts w:cs="Arial"/>
                          <w:b/>
                          <w:bCs/>
                          <w:color w:val="414041" w:themeColor="text1"/>
                          <w:sz w:val="18"/>
                          <w:szCs w:val="18"/>
                        </w:rPr>
                        <w:t>A</w:t>
                      </w:r>
                      <w:r w:rsidR="008C7874">
                        <w:rPr>
                          <w:rFonts w:cs="Arial"/>
                          <w:b/>
                          <w:bCs/>
                          <w:color w:val="414041" w:themeColor="text1"/>
                          <w:sz w:val="18"/>
                          <w:szCs w:val="18"/>
                        </w:rPr>
                        <w:t xml:space="preserve">s of </w:t>
                      </w:r>
                      <w:r w:rsidR="006E3548">
                        <w:rPr>
                          <w:rFonts w:cs="Arial"/>
                          <w:b/>
                          <w:bCs/>
                          <w:color w:val="414041" w:themeColor="text1"/>
                          <w:sz w:val="18"/>
                          <w:szCs w:val="18"/>
                        </w:rPr>
                        <w:t>September 1</w:t>
                      </w:r>
                      <w:r>
                        <w:rPr>
                          <w:rFonts w:cs="Arial"/>
                          <w:b/>
                          <w:bCs/>
                          <w:color w:val="414041" w:themeColor="text1"/>
                          <w:sz w:val="18"/>
                          <w:szCs w:val="18"/>
                        </w:rPr>
                        <w:t>, 2022</w:t>
                      </w:r>
                    </w:p>
                    <w:p w14:paraId="30B879A6" w14:textId="77777777" w:rsidR="009748AD" w:rsidRPr="006E1BB0" w:rsidRDefault="009748AD" w:rsidP="00CD1FFC">
                      <w:pPr>
                        <w:rPr>
                          <w:rFonts w:cs="Arial"/>
                          <w:b/>
                          <w:bCs/>
                          <w:color w:val="414041"/>
                          <w:sz w:val="36"/>
                          <w:szCs w:val="36"/>
                        </w:rPr>
                      </w:pPr>
                    </w:p>
                  </w:txbxContent>
                </v:textbox>
              </v:shape>
            </w:pict>
          </mc:Fallback>
        </mc:AlternateContent>
      </w:r>
      <w:r w:rsidR="009577FA">
        <w:rPr>
          <w:noProof/>
        </w:rPr>
        <w:drawing>
          <wp:anchor distT="0" distB="0" distL="114300" distR="114300" simplePos="0" relativeHeight="251661824" behindDoc="0" locked="0" layoutInCell="1" allowOverlap="1" wp14:anchorId="18585596" wp14:editId="6228F774">
            <wp:simplePos x="0" y="0"/>
            <wp:positionH relativeFrom="column">
              <wp:posOffset>3678555</wp:posOffset>
            </wp:positionH>
            <wp:positionV relativeFrom="paragraph">
              <wp:posOffset>-1436932</wp:posOffset>
            </wp:positionV>
            <wp:extent cx="3528695" cy="1628628"/>
            <wp:effectExtent l="0" t="0" r="1905" b="0"/>
            <wp:wrapNone/>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7"/>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28695" cy="1628628"/>
                    </a:xfrm>
                    <a:prstGeom prst="rect">
                      <a:avLst/>
                    </a:prstGeom>
                    <a:noFill/>
                  </pic:spPr>
                </pic:pic>
              </a:graphicData>
            </a:graphic>
            <wp14:sizeRelH relativeFrom="margin">
              <wp14:pctWidth>0</wp14:pctWidth>
            </wp14:sizeRelH>
            <wp14:sizeRelV relativeFrom="margin">
              <wp14:pctHeight>0</wp14:pctHeight>
            </wp14:sizeRelV>
          </wp:anchor>
        </w:drawing>
      </w:r>
      <w:r w:rsidR="00AA0A22" w:rsidRPr="00092689">
        <w:rPr>
          <w:noProof/>
          <w:color w:val="414041"/>
        </w:rPr>
        <mc:AlternateContent>
          <mc:Choice Requires="wps">
            <w:drawing>
              <wp:anchor distT="0" distB="0" distL="114300" distR="114300" simplePos="0" relativeHeight="251655680" behindDoc="0" locked="0" layoutInCell="1" allowOverlap="1" wp14:anchorId="6DA94579" wp14:editId="0A3BCA31">
                <wp:simplePos x="0" y="0"/>
                <wp:positionH relativeFrom="column">
                  <wp:posOffset>-613523</wp:posOffset>
                </wp:positionH>
                <wp:positionV relativeFrom="paragraph">
                  <wp:posOffset>-1436483</wp:posOffset>
                </wp:positionV>
                <wp:extent cx="7825122" cy="10133556"/>
                <wp:effectExtent l="0" t="0" r="0" b="12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5122" cy="10133556"/>
                        </a:xfrm>
                        <a:prstGeom prst="rect">
                          <a:avLst/>
                        </a:prstGeom>
                        <a:solidFill>
                          <a:srgbClr val="F1F2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82A5898" id="Rectangle 38" o:spid="_x0000_s1026" style="position:absolute;margin-left:-48.3pt;margin-top:-113.1pt;width:616.15pt;height:79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" fillcolor="#f1f2f0" stroked="f" strokeweight="1pt"/>
            </w:pict>
          </mc:Fallback>
        </mc:AlternateContent>
      </w:r>
      <w:r w:rsidR="00514A95">
        <w:rPr>
          <w:noProof/>
        </w:rPr>
        <mc:AlternateContent>
          <mc:Choice Requires="wps">
            <w:drawing>
              <wp:anchor distT="0" distB="0" distL="114300" distR="114300" simplePos="0" relativeHeight="251656704" behindDoc="0" locked="0" layoutInCell="1" allowOverlap="1" wp14:anchorId="705AE204" wp14:editId="7A1EF16E">
                <wp:simplePos x="0" y="0"/>
                <wp:positionH relativeFrom="column">
                  <wp:posOffset>-71120</wp:posOffset>
                </wp:positionH>
                <wp:positionV relativeFrom="paragraph">
                  <wp:posOffset>662305</wp:posOffset>
                </wp:positionV>
                <wp:extent cx="5974715" cy="2299335"/>
                <wp:effectExtent l="0" t="0" r="698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715" cy="2299335"/>
                        </a:xfrm>
                        <a:prstGeom prst="rect">
                          <a:avLst/>
                        </a:prstGeom>
                        <a:noFill/>
                        <a:ln w="6350">
                          <a:noFill/>
                        </a:ln>
                      </wps:spPr>
                      <wps:txbx>
                        <w:txbxContent>
                          <w:p w14:paraId="2995DB10" w14:textId="77777777" w:rsidR="009748AD" w:rsidRPr="004B5931" w:rsidRDefault="009748AD" w:rsidP="00092689">
                            <w:pPr>
                              <w:pStyle w:val="TOCHeading"/>
                              <w:rPr>
                                <w:rFonts w:ascii="Arial" w:hAnsi="Arial" w:cs="Arial"/>
                              </w:rPr>
                            </w:pPr>
                          </w:p>
                          <w:p w14:paraId="7501AB6F" w14:textId="77777777" w:rsidR="009748AD" w:rsidRPr="004B5931" w:rsidRDefault="009748AD" w:rsidP="00092689">
                            <w:pPr>
                              <w:pStyle w:val="TOCHeading"/>
                              <w:rPr>
                                <w:rFonts w:ascii="Arial" w:hAnsi="Arial" w:cs="Arial"/>
                              </w:rPr>
                            </w:pPr>
                          </w:p>
                          <w:p w14:paraId="5C1AAB1F" w14:textId="77777777" w:rsidR="009748AD" w:rsidRPr="004B5931" w:rsidRDefault="009748AD" w:rsidP="00092689">
                            <w:pPr>
                              <w:pStyle w:val="TOCHeading"/>
                              <w:rPr>
                                <w:rFonts w:ascii="Arial" w:hAnsi="Arial" w:cs="Arial"/>
                              </w:rPr>
                            </w:pPr>
                          </w:p>
                          <w:p w14:paraId="0623B063" w14:textId="77777777" w:rsidR="009748AD" w:rsidRPr="004B5931" w:rsidRDefault="009748AD" w:rsidP="00092689">
                            <w:pPr>
                              <w:pStyle w:val="TOCHeading"/>
                              <w:rPr>
                                <w:rFonts w:ascii="Arial" w:hAnsi="Arial" w:cs="Arial"/>
                              </w:rPr>
                            </w:pPr>
                          </w:p>
                          <w:p w14:paraId="22327D90" w14:textId="77777777" w:rsidR="009748AD" w:rsidRPr="004B5931" w:rsidRDefault="009748AD" w:rsidP="00092689">
                            <w:pPr>
                              <w:pStyle w:val="TOCHeading"/>
                              <w:rPr>
                                <w:rFonts w:ascii="Arial" w:hAnsi="Arial" w:cs="Arial"/>
                              </w:rPr>
                            </w:pPr>
                          </w:p>
                          <w:p w14:paraId="0607CE9D" w14:textId="77777777" w:rsidR="009748AD" w:rsidRPr="004B5931" w:rsidRDefault="009748AD" w:rsidP="00092689">
                            <w:pPr>
                              <w:pStyle w:val="TOCHeading"/>
                              <w:rPr>
                                <w:rFonts w:ascii="Arial" w:hAnsi="Arial" w:cs="Arial"/>
                              </w:rPr>
                            </w:pPr>
                          </w:p>
                          <w:p w14:paraId="748E1394" w14:textId="28C8AD4A" w:rsidR="009748AD" w:rsidRPr="004B5931" w:rsidRDefault="009748AD" w:rsidP="00F46BA7">
                            <w:pPr>
                              <w:pStyle w:val="BoldOrangeMIAX"/>
                              <w:rPr>
                                <w:rFonts w:ascii="Arial" w:hAnsi="Arial" w:cs="Arial"/>
                              </w:rPr>
                            </w:pPr>
                            <w:r w:rsidRPr="004B5931">
                              <w:rPr>
                                <w:rFonts w:ascii="Arial" w:hAnsi="Arial" w:cs="Arial"/>
                              </w:rPr>
                              <w:t xml:space="preserve">MIAX </w:t>
                            </w:r>
                            <w:r>
                              <w:rPr>
                                <w:rFonts w:ascii="Arial" w:hAnsi="Arial" w:cs="Arial"/>
                              </w:rPr>
                              <w:t>Pearl Equities Exchange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5AE204" id="Text Box 41" o:spid="_x0000_s1028" type="#_x0000_t202" style="position:absolute;margin-left:-5.6pt;margin-top:52.15pt;width:470.45pt;height:18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" filled="f" stroked="f" strokeweight=".5pt">
                <v:path arrowok="t"/>
                <v:textbox inset="0,0,0,0">
                  <w:txbxContent>
                    <w:p w14:paraId="2995DB10" w14:textId="77777777" w:rsidR="009748AD" w:rsidRPr="004B5931" w:rsidRDefault="009748AD" w:rsidP="00092689">
                      <w:pPr>
                        <w:pStyle w:val="TOCHeading"/>
                        <w:rPr>
                          <w:rFonts w:ascii="Arial" w:hAnsi="Arial" w:cs="Arial"/>
                        </w:rPr>
                      </w:pPr>
                    </w:p>
                    <w:p w14:paraId="7501AB6F" w14:textId="77777777" w:rsidR="009748AD" w:rsidRPr="004B5931" w:rsidRDefault="009748AD" w:rsidP="00092689">
                      <w:pPr>
                        <w:pStyle w:val="TOCHeading"/>
                        <w:rPr>
                          <w:rFonts w:ascii="Arial" w:hAnsi="Arial" w:cs="Arial"/>
                        </w:rPr>
                      </w:pPr>
                    </w:p>
                    <w:p w14:paraId="5C1AAB1F" w14:textId="77777777" w:rsidR="009748AD" w:rsidRPr="004B5931" w:rsidRDefault="009748AD" w:rsidP="00092689">
                      <w:pPr>
                        <w:pStyle w:val="TOCHeading"/>
                        <w:rPr>
                          <w:rFonts w:ascii="Arial" w:hAnsi="Arial" w:cs="Arial"/>
                        </w:rPr>
                      </w:pPr>
                    </w:p>
                    <w:p w14:paraId="0623B063" w14:textId="77777777" w:rsidR="009748AD" w:rsidRPr="004B5931" w:rsidRDefault="009748AD" w:rsidP="00092689">
                      <w:pPr>
                        <w:pStyle w:val="TOCHeading"/>
                        <w:rPr>
                          <w:rFonts w:ascii="Arial" w:hAnsi="Arial" w:cs="Arial"/>
                        </w:rPr>
                      </w:pPr>
                    </w:p>
                    <w:p w14:paraId="22327D90" w14:textId="77777777" w:rsidR="009748AD" w:rsidRPr="004B5931" w:rsidRDefault="009748AD" w:rsidP="00092689">
                      <w:pPr>
                        <w:pStyle w:val="TOCHeading"/>
                        <w:rPr>
                          <w:rFonts w:ascii="Arial" w:hAnsi="Arial" w:cs="Arial"/>
                        </w:rPr>
                      </w:pPr>
                    </w:p>
                    <w:p w14:paraId="0607CE9D" w14:textId="77777777" w:rsidR="009748AD" w:rsidRPr="004B5931" w:rsidRDefault="009748AD" w:rsidP="00092689">
                      <w:pPr>
                        <w:pStyle w:val="TOCHeading"/>
                        <w:rPr>
                          <w:rFonts w:ascii="Arial" w:hAnsi="Arial" w:cs="Arial"/>
                        </w:rPr>
                      </w:pPr>
                    </w:p>
                    <w:p w14:paraId="748E1394" w14:textId="28C8AD4A" w:rsidR="009748AD" w:rsidRPr="004B5931" w:rsidRDefault="009748AD" w:rsidP="00F46BA7">
                      <w:pPr>
                        <w:pStyle w:val="BoldOrangeMIAX"/>
                        <w:rPr>
                          <w:rFonts w:ascii="Arial" w:hAnsi="Arial" w:cs="Arial"/>
                        </w:rPr>
                      </w:pPr>
                      <w:r w:rsidRPr="004B5931">
                        <w:rPr>
                          <w:rFonts w:ascii="Arial" w:hAnsi="Arial" w:cs="Arial"/>
                        </w:rPr>
                        <w:t xml:space="preserve">MIAX </w:t>
                      </w:r>
                      <w:r>
                        <w:rPr>
                          <w:rFonts w:ascii="Arial" w:hAnsi="Arial" w:cs="Arial"/>
                        </w:rPr>
                        <w:t>Pearl Equities Exchange</w:t>
                      </w:r>
                    </w:p>
                  </w:txbxContent>
                </v:textbox>
              </v:shape>
            </w:pict>
          </mc:Fallback>
        </mc:AlternateContent>
      </w:r>
      <w:r w:rsidR="005C173D">
        <w:rPr>
          <w:noProof/>
        </w:rPr>
        <mc:AlternateContent>
          <mc:Choice Requires="wps">
            <w:drawing>
              <wp:anchor distT="0" distB="0" distL="114300" distR="114300" simplePos="0" relativeHeight="251657728" behindDoc="0" locked="0" layoutInCell="1" allowOverlap="1" wp14:anchorId="53B26E2F" wp14:editId="75EA5FB2">
                <wp:simplePos x="0" y="0"/>
                <wp:positionH relativeFrom="column">
                  <wp:posOffset>-71120</wp:posOffset>
                </wp:positionH>
                <wp:positionV relativeFrom="paragraph">
                  <wp:posOffset>3144520</wp:posOffset>
                </wp:positionV>
                <wp:extent cx="5549900" cy="18669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900" cy="1866900"/>
                        </a:xfrm>
                        <a:prstGeom prst="rect">
                          <a:avLst/>
                        </a:prstGeom>
                        <a:noFill/>
                        <a:ln w="6350">
                          <a:noFill/>
                        </a:ln>
                      </wps:spPr>
                      <wps:txbx>
                        <w:txbxContent>
                          <w:p w14:paraId="45943052" w14:textId="75A6D571" w:rsidR="009748AD" w:rsidRPr="004B5931" w:rsidRDefault="009748AD" w:rsidP="004B5931">
                            <w:pPr>
                              <w:pStyle w:val="LargeBoldLeftAlignMIAX"/>
                            </w:pPr>
                            <w:r>
                              <w:t>Fee Schedule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B26E2F" id="Text Box 42" o:spid="_x0000_s1029" type="#_x0000_t202" style="position:absolute;margin-left:-5.6pt;margin-top:247.6pt;width:437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" filled="f" stroked="f" strokeweight=".5pt">
                <v:path arrowok="t"/>
                <v:textbox inset="0,0,0,0">
                  <w:txbxContent>
                    <w:p w14:paraId="45943052" w14:textId="75A6D571" w:rsidR="009748AD" w:rsidRPr="004B5931" w:rsidRDefault="009748AD" w:rsidP="004B5931">
                      <w:pPr>
                        <w:pStyle w:val="LargeBoldLeftAlignMIAX"/>
                      </w:pPr>
                      <w:r>
                        <w:t>Fee Schedule</w:t>
                      </w:r>
                    </w:p>
                  </w:txbxContent>
                </v:textbox>
              </v:shape>
            </w:pict>
          </mc:Fallback>
        </mc:AlternateContent>
      </w:r>
      <w:r w:rsidR="005C173D">
        <w:rPr>
          <w:noProof/>
        </w:rPr>
        <mc:AlternateContent>
          <mc:Choice Requires="wps">
            <w:drawing>
              <wp:anchor distT="0" distB="0" distL="114300" distR="114300" simplePos="0" relativeHeight="251653632" behindDoc="0" locked="0" layoutInCell="1" allowOverlap="1" wp14:anchorId="679DFFCF" wp14:editId="098E563D">
                <wp:simplePos x="0" y="0"/>
                <wp:positionH relativeFrom="column">
                  <wp:posOffset>-72390</wp:posOffset>
                </wp:positionH>
                <wp:positionV relativeFrom="paragraph">
                  <wp:posOffset>3134995</wp:posOffset>
                </wp:positionV>
                <wp:extent cx="4849495" cy="61658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9495" cy="616585"/>
                        </a:xfrm>
                        <a:prstGeom prst="rect">
                          <a:avLst/>
                        </a:prstGeom>
                        <a:noFill/>
                        <a:ln w="6350">
                          <a:noFill/>
                        </a:ln>
                      </wps:spPr>
                      <wps:txbx>
                        <w:txbxContent>
                          <w:p w14:paraId="3D6E990E" w14:textId="77777777" w:rsidR="009748AD" w:rsidRPr="00743D8B" w:rsidRDefault="009748AD" w:rsidP="00743D8B">
                            <w:pPr>
                              <w:rPr>
                                <w:sz w:val="80"/>
                                <w:szCs w:val="80"/>
                              </w:rPr>
                            </w:pPr>
                            <w:r w:rsidRPr="002D580E">
                              <w:rPr>
                                <w:rFonts w:ascii="Helvetica" w:hAnsi="Helvetica" w:cs="Times New Roman (Body CS)"/>
                                <w:b/>
                                <w:bCs/>
                                <w:color w:val="FFFFFF"/>
                                <w:sz w:val="80"/>
                                <w:szCs w:val="80"/>
                              </w:rPr>
                              <w:t>User Manual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DFFCF" id="Text Box 31" o:spid="_x0000_s1030" type="#_x0000_t202" style="position:absolute;margin-left:-5.7pt;margin-top:246.85pt;width:381.85pt;height:4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" filled="f" stroked="f" strokeweight=".5pt">
                <v:path arrowok="t"/>
                <v:textbox inset="0,0,0,0">
                  <w:txbxContent>
                    <w:p w14:paraId="3D6E990E" w14:textId="77777777" w:rsidR="009748AD" w:rsidRPr="00743D8B" w:rsidRDefault="009748AD" w:rsidP="00743D8B">
                      <w:pPr>
                        <w:rPr>
                          <w:sz w:val="80"/>
                          <w:szCs w:val="80"/>
                        </w:rPr>
                      </w:pPr>
                      <w:r w:rsidRPr="002D580E">
                        <w:rPr>
                          <w:rFonts w:ascii="Helvetica" w:hAnsi="Helvetica" w:cs="Times New Roman (Body CS)"/>
                          <w:b/>
                          <w:bCs/>
                          <w:color w:val="FFFFFF"/>
                          <w:sz w:val="80"/>
                          <w:szCs w:val="80"/>
                        </w:rPr>
                        <w:t>User Manual</w:t>
                      </w:r>
                    </w:p>
                  </w:txbxContent>
                </v:textbox>
              </v:shape>
            </w:pict>
          </mc:Fallback>
        </mc:AlternateContent>
      </w:r>
      <w:r w:rsidR="005C173D">
        <w:rPr>
          <w:noProof/>
        </w:rPr>
        <mc:AlternateContent>
          <mc:Choice Requires="wps">
            <w:drawing>
              <wp:anchor distT="0" distB="0" distL="114300" distR="114300" simplePos="0" relativeHeight="251652608" behindDoc="0" locked="0" layoutInCell="1" allowOverlap="1" wp14:anchorId="42E097D5" wp14:editId="348F1915">
                <wp:simplePos x="0" y="0"/>
                <wp:positionH relativeFrom="column">
                  <wp:posOffset>-64135</wp:posOffset>
                </wp:positionH>
                <wp:positionV relativeFrom="paragraph">
                  <wp:posOffset>7814310</wp:posOffset>
                </wp:positionV>
                <wp:extent cx="4591685" cy="35306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685" cy="353060"/>
                        </a:xfrm>
                        <a:prstGeom prst="rect">
                          <a:avLst/>
                        </a:prstGeom>
                        <a:noFill/>
                        <a:ln w="6350">
                          <a:noFill/>
                        </a:ln>
                      </wps:spPr>
                      <wps:txbx>
                        <w:txbxContent>
                          <w:p w14:paraId="32A2D1C5" w14:textId="77777777" w:rsidR="009748AD" w:rsidRPr="002D580E" w:rsidRDefault="009748AD" w:rsidP="00743D8B">
                            <w:pPr>
                              <w:spacing w:line="276" w:lineRule="auto"/>
                              <w:rPr>
                                <w:rFonts w:ascii="Helvetica" w:hAnsi="Helvetica" w:cs="Helvetica"/>
                                <w:color w:val="FFFFFF"/>
                                <w:sz w:val="14"/>
                                <w:szCs w:val="14"/>
                              </w:rPr>
                            </w:pPr>
                            <w:r w:rsidRPr="002D580E">
                              <w:rPr>
                                <w:rFonts w:ascii="Helvetica" w:hAnsi="Helvetica" w:cs="Helvetica"/>
                                <w:color w:val="FFFFFF"/>
                                <w:sz w:val="14"/>
                                <w:szCs w:val="14"/>
                              </w:rPr>
                              <w:t>© 2019 Miami International Securities Exchange, LLC. All Rights Reserved.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E097D5" id="Text Box 74" o:spid="_x0000_s1031" type="#_x0000_t202" style="position:absolute;margin-left:-5.05pt;margin-top:615.3pt;width:361.55pt;height:27.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" filled="f" stroked="f" strokeweight=".5pt">
                <v:path arrowok="t"/>
                <v:textbox inset="0,0,0,0">
                  <w:txbxContent>
                    <w:p w14:paraId="32A2D1C5" w14:textId="77777777" w:rsidR="009748AD" w:rsidRPr="002D580E" w:rsidRDefault="009748AD" w:rsidP="00743D8B">
                      <w:pPr>
                        <w:spacing w:line="276" w:lineRule="auto"/>
                        <w:rPr>
                          <w:rFonts w:ascii="Helvetica" w:hAnsi="Helvetica" w:cs="Helvetica"/>
                          <w:color w:val="FFFFFF"/>
                          <w:sz w:val="14"/>
                          <w:szCs w:val="14"/>
                        </w:rPr>
                      </w:pPr>
                      <w:r w:rsidRPr="002D580E">
                        <w:rPr>
                          <w:rFonts w:ascii="Helvetica" w:hAnsi="Helvetica" w:cs="Helvetica"/>
                          <w:color w:val="FFFFFF"/>
                          <w:sz w:val="14"/>
                          <w:szCs w:val="14"/>
                        </w:rPr>
                        <w:t>© 2019 Miami International Securities Exchange, LLC. All Rights Reserved.</w:t>
                      </w:r>
                    </w:p>
                  </w:txbxContent>
                </v:textbox>
              </v:shape>
            </w:pict>
          </mc:Fallback>
        </mc:AlternateContent>
      </w:r>
    </w:p>
    <w:p w14:paraId="49DEDFD2" w14:textId="77777777" w:rsidR="00384140" w:rsidRDefault="00963CC4" w:rsidP="002E7BE7">
      <w:pPr>
        <w:pStyle w:val="TOCHeading"/>
        <w:rPr>
          <w:noProof/>
        </w:rPr>
      </w:pPr>
      <w:bookmarkStart w:id="0" w:name="_Toc52547529"/>
      <w:r w:rsidRPr="002D580E">
        <w:rPr>
          <w:sz w:val="56"/>
          <w:szCs w:val="56"/>
        </w:rPr>
        <w:lastRenderedPageBreak/>
        <w:t>Table of Contents</w:t>
      </w:r>
      <w:bookmarkEnd w:id="0"/>
      <w:r w:rsidR="002E7BE7">
        <w:rPr>
          <w:color w:val="414041"/>
          <w:sz w:val="20"/>
          <w:szCs w:val="20"/>
        </w:rPr>
        <w:fldChar w:fldCharType="begin"/>
      </w:r>
      <w:r w:rsidR="002E7BE7">
        <w:rPr>
          <w:color w:val="414041"/>
          <w:sz w:val="20"/>
          <w:szCs w:val="20"/>
        </w:rPr>
        <w:instrText xml:space="preserve"> TOC \o "3-3" \h \z \t "Heading 1,1,Heading 2,2" </w:instrText>
      </w:r>
      <w:r w:rsidR="002E7BE7">
        <w:rPr>
          <w:color w:val="414041"/>
          <w:sz w:val="20"/>
          <w:szCs w:val="20"/>
        </w:rPr>
        <w:fldChar w:fldCharType="separate"/>
      </w:r>
    </w:p>
    <w:p w14:paraId="063D494B" w14:textId="6A9A03D1" w:rsidR="00384140" w:rsidRDefault="00DD2ED3">
      <w:pPr>
        <w:pStyle w:val="TOC1"/>
        <w:rPr>
          <w:rFonts w:asciiTheme="minorHAnsi" w:eastAsiaTheme="minorEastAsia" w:hAnsiTheme="minorHAnsi" w:cstheme="minorBidi"/>
          <w:b w:val="0"/>
          <w:bCs w:val="0"/>
          <w:color w:val="auto"/>
          <w:szCs w:val="22"/>
        </w:rPr>
      </w:pPr>
      <w:hyperlink w:anchor="_Toc110949403" w:history="1">
        <w:r w:rsidR="00384140" w:rsidRPr="003B769F">
          <w:rPr>
            <w:rStyle w:val="Hyperlink"/>
          </w:rPr>
          <w:t>Definitions</w:t>
        </w:r>
        <w:r w:rsidR="00384140">
          <w:rPr>
            <w:webHidden/>
          </w:rPr>
          <w:tab/>
        </w:r>
        <w:r w:rsidR="00384140">
          <w:rPr>
            <w:webHidden/>
          </w:rPr>
          <w:fldChar w:fldCharType="begin"/>
        </w:r>
        <w:r w:rsidR="00384140">
          <w:rPr>
            <w:webHidden/>
          </w:rPr>
          <w:instrText xml:space="preserve"> PAGEREF _Toc110949403 \h </w:instrText>
        </w:r>
        <w:r w:rsidR="00384140">
          <w:rPr>
            <w:webHidden/>
          </w:rPr>
        </w:r>
        <w:r w:rsidR="00384140">
          <w:rPr>
            <w:webHidden/>
          </w:rPr>
          <w:fldChar w:fldCharType="separate"/>
        </w:r>
        <w:r w:rsidR="00384140">
          <w:rPr>
            <w:webHidden/>
          </w:rPr>
          <w:t>1</w:t>
        </w:r>
        <w:r w:rsidR="00384140">
          <w:rPr>
            <w:webHidden/>
          </w:rPr>
          <w:fldChar w:fldCharType="end"/>
        </w:r>
      </w:hyperlink>
    </w:p>
    <w:p w14:paraId="78317917" w14:textId="43F19DFE" w:rsidR="00384140" w:rsidRDefault="00DD2ED3">
      <w:pPr>
        <w:pStyle w:val="TOC1"/>
        <w:rPr>
          <w:rFonts w:asciiTheme="minorHAnsi" w:eastAsiaTheme="minorEastAsia" w:hAnsiTheme="minorHAnsi" w:cstheme="minorBidi"/>
          <w:b w:val="0"/>
          <w:bCs w:val="0"/>
          <w:color w:val="auto"/>
          <w:szCs w:val="22"/>
        </w:rPr>
      </w:pPr>
      <w:hyperlink w:anchor="_Toc110949404" w:history="1">
        <w:r w:rsidR="00384140" w:rsidRPr="003B769F">
          <w:rPr>
            <w:rStyle w:val="Hyperlink"/>
          </w:rPr>
          <w:t>General Notes</w:t>
        </w:r>
        <w:r w:rsidR="00384140">
          <w:rPr>
            <w:webHidden/>
          </w:rPr>
          <w:tab/>
        </w:r>
        <w:r w:rsidR="00384140">
          <w:rPr>
            <w:webHidden/>
          </w:rPr>
          <w:fldChar w:fldCharType="begin"/>
        </w:r>
        <w:r w:rsidR="00384140">
          <w:rPr>
            <w:webHidden/>
          </w:rPr>
          <w:instrText xml:space="preserve"> PAGEREF _Toc110949404 \h </w:instrText>
        </w:r>
        <w:r w:rsidR="00384140">
          <w:rPr>
            <w:webHidden/>
          </w:rPr>
        </w:r>
        <w:r w:rsidR="00384140">
          <w:rPr>
            <w:webHidden/>
          </w:rPr>
          <w:fldChar w:fldCharType="separate"/>
        </w:r>
        <w:r w:rsidR="00384140">
          <w:rPr>
            <w:webHidden/>
          </w:rPr>
          <w:t>3</w:t>
        </w:r>
        <w:r w:rsidR="00384140">
          <w:rPr>
            <w:webHidden/>
          </w:rPr>
          <w:fldChar w:fldCharType="end"/>
        </w:r>
      </w:hyperlink>
    </w:p>
    <w:p w14:paraId="1CFF6610" w14:textId="7BD19C43" w:rsidR="00384140" w:rsidRDefault="00DD2ED3">
      <w:pPr>
        <w:pStyle w:val="TOC1"/>
        <w:rPr>
          <w:rFonts w:asciiTheme="minorHAnsi" w:eastAsiaTheme="minorEastAsia" w:hAnsiTheme="minorHAnsi" w:cstheme="minorBidi"/>
          <w:b w:val="0"/>
          <w:bCs w:val="0"/>
          <w:color w:val="auto"/>
          <w:szCs w:val="22"/>
        </w:rPr>
      </w:pPr>
      <w:hyperlink w:anchor="_Toc110949405" w:history="1">
        <w:r w:rsidR="00384140" w:rsidRPr="003B769F">
          <w:rPr>
            <w:rStyle w:val="Hyperlink"/>
          </w:rPr>
          <w:t>1) Transaction Rebates/Fees</w:t>
        </w:r>
        <w:r w:rsidR="00384140">
          <w:rPr>
            <w:webHidden/>
          </w:rPr>
          <w:tab/>
        </w:r>
        <w:r w:rsidR="00384140">
          <w:rPr>
            <w:webHidden/>
          </w:rPr>
          <w:fldChar w:fldCharType="begin"/>
        </w:r>
        <w:r w:rsidR="00384140">
          <w:rPr>
            <w:webHidden/>
          </w:rPr>
          <w:instrText xml:space="preserve"> PAGEREF _Toc110949405 \h </w:instrText>
        </w:r>
        <w:r w:rsidR="00384140">
          <w:rPr>
            <w:webHidden/>
          </w:rPr>
        </w:r>
        <w:r w:rsidR="00384140">
          <w:rPr>
            <w:webHidden/>
          </w:rPr>
          <w:fldChar w:fldCharType="separate"/>
        </w:r>
        <w:r w:rsidR="00384140">
          <w:rPr>
            <w:webHidden/>
          </w:rPr>
          <w:t>4</w:t>
        </w:r>
        <w:r w:rsidR="00384140">
          <w:rPr>
            <w:webHidden/>
          </w:rPr>
          <w:fldChar w:fldCharType="end"/>
        </w:r>
      </w:hyperlink>
    </w:p>
    <w:p w14:paraId="0CFB2D49" w14:textId="1BF97F96"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06" w:history="1">
        <w:r w:rsidR="00384140" w:rsidRPr="003B769F">
          <w:rPr>
            <w:rStyle w:val="Hyperlink"/>
            <w:noProof/>
          </w:rPr>
          <w:t>a) Standard Rates</w:t>
        </w:r>
        <w:r w:rsidR="00384140">
          <w:rPr>
            <w:noProof/>
            <w:webHidden/>
          </w:rPr>
          <w:tab/>
        </w:r>
        <w:r w:rsidR="00384140">
          <w:rPr>
            <w:noProof/>
            <w:webHidden/>
          </w:rPr>
          <w:fldChar w:fldCharType="begin"/>
        </w:r>
        <w:r w:rsidR="00384140">
          <w:rPr>
            <w:noProof/>
            <w:webHidden/>
          </w:rPr>
          <w:instrText xml:space="preserve"> PAGEREF _Toc110949406 \h </w:instrText>
        </w:r>
        <w:r w:rsidR="00384140">
          <w:rPr>
            <w:noProof/>
            <w:webHidden/>
          </w:rPr>
        </w:r>
        <w:r w:rsidR="00384140">
          <w:rPr>
            <w:noProof/>
            <w:webHidden/>
          </w:rPr>
          <w:fldChar w:fldCharType="separate"/>
        </w:r>
        <w:r w:rsidR="00384140">
          <w:rPr>
            <w:noProof/>
            <w:webHidden/>
          </w:rPr>
          <w:t>4</w:t>
        </w:r>
        <w:r w:rsidR="00384140">
          <w:rPr>
            <w:noProof/>
            <w:webHidden/>
          </w:rPr>
          <w:fldChar w:fldCharType="end"/>
        </w:r>
      </w:hyperlink>
    </w:p>
    <w:p w14:paraId="1B050936" w14:textId="4F6A193C"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07" w:history="1">
        <w:r w:rsidR="00384140" w:rsidRPr="003B769F">
          <w:rPr>
            <w:rStyle w:val="Hyperlink"/>
            <w:noProof/>
          </w:rPr>
          <w:t>b)</w:t>
        </w:r>
        <w:r w:rsidR="00384140" w:rsidRPr="003B769F">
          <w:rPr>
            <w:rStyle w:val="Hyperlink"/>
            <w:rFonts w:cstheme="minorHAnsi"/>
            <w:b/>
            <w:noProof/>
          </w:rPr>
          <w:t xml:space="preserve"> </w:t>
        </w:r>
        <w:r w:rsidR="00384140" w:rsidRPr="003B769F">
          <w:rPr>
            <w:rStyle w:val="Hyperlink"/>
            <w:noProof/>
          </w:rPr>
          <w:t>Liquidity Indicator Codes and Associated Fees</w:t>
        </w:r>
        <w:r w:rsidR="00384140">
          <w:rPr>
            <w:noProof/>
            <w:webHidden/>
          </w:rPr>
          <w:tab/>
        </w:r>
        <w:r w:rsidR="00384140">
          <w:rPr>
            <w:noProof/>
            <w:webHidden/>
          </w:rPr>
          <w:fldChar w:fldCharType="begin"/>
        </w:r>
        <w:r w:rsidR="00384140">
          <w:rPr>
            <w:noProof/>
            <w:webHidden/>
          </w:rPr>
          <w:instrText xml:space="preserve"> PAGEREF _Toc110949407 \h </w:instrText>
        </w:r>
        <w:r w:rsidR="00384140">
          <w:rPr>
            <w:noProof/>
            <w:webHidden/>
          </w:rPr>
        </w:r>
        <w:r w:rsidR="00384140">
          <w:rPr>
            <w:noProof/>
            <w:webHidden/>
          </w:rPr>
          <w:fldChar w:fldCharType="separate"/>
        </w:r>
        <w:r w:rsidR="00384140">
          <w:rPr>
            <w:noProof/>
            <w:webHidden/>
          </w:rPr>
          <w:t>5</w:t>
        </w:r>
        <w:r w:rsidR="00384140">
          <w:rPr>
            <w:noProof/>
            <w:webHidden/>
          </w:rPr>
          <w:fldChar w:fldCharType="end"/>
        </w:r>
      </w:hyperlink>
    </w:p>
    <w:p w14:paraId="2B3F1F3B" w14:textId="2D64922A"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08" w:history="1">
        <w:r w:rsidR="00384140" w:rsidRPr="003B769F">
          <w:rPr>
            <w:rStyle w:val="Hyperlink"/>
            <w:noProof/>
          </w:rPr>
          <w:t>c) Add Volume Tiers</w:t>
        </w:r>
        <w:r w:rsidR="00384140">
          <w:rPr>
            <w:noProof/>
            <w:webHidden/>
          </w:rPr>
          <w:tab/>
        </w:r>
        <w:r w:rsidR="00384140">
          <w:rPr>
            <w:noProof/>
            <w:webHidden/>
          </w:rPr>
          <w:fldChar w:fldCharType="begin"/>
        </w:r>
        <w:r w:rsidR="00384140">
          <w:rPr>
            <w:noProof/>
            <w:webHidden/>
          </w:rPr>
          <w:instrText xml:space="preserve"> PAGEREF _Toc110949408 \h </w:instrText>
        </w:r>
        <w:r w:rsidR="00384140">
          <w:rPr>
            <w:noProof/>
            <w:webHidden/>
          </w:rPr>
        </w:r>
        <w:r w:rsidR="00384140">
          <w:rPr>
            <w:noProof/>
            <w:webHidden/>
          </w:rPr>
          <w:fldChar w:fldCharType="separate"/>
        </w:r>
        <w:r w:rsidR="00384140">
          <w:rPr>
            <w:noProof/>
            <w:webHidden/>
          </w:rPr>
          <w:t>7</w:t>
        </w:r>
        <w:r w:rsidR="00384140">
          <w:rPr>
            <w:noProof/>
            <w:webHidden/>
          </w:rPr>
          <w:fldChar w:fldCharType="end"/>
        </w:r>
      </w:hyperlink>
    </w:p>
    <w:p w14:paraId="2F9DE045" w14:textId="0E3F71FC"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09" w:history="1">
        <w:r w:rsidR="00384140" w:rsidRPr="003B769F">
          <w:rPr>
            <w:rStyle w:val="Hyperlink"/>
            <w:noProof/>
          </w:rPr>
          <w:t>d) Remove Volume Tiers</w:t>
        </w:r>
        <w:r w:rsidR="00384140">
          <w:rPr>
            <w:noProof/>
            <w:webHidden/>
          </w:rPr>
          <w:tab/>
        </w:r>
        <w:r w:rsidR="00384140">
          <w:rPr>
            <w:noProof/>
            <w:webHidden/>
          </w:rPr>
          <w:fldChar w:fldCharType="begin"/>
        </w:r>
        <w:r w:rsidR="00384140">
          <w:rPr>
            <w:noProof/>
            <w:webHidden/>
          </w:rPr>
          <w:instrText xml:space="preserve"> PAGEREF _Toc110949409 \h </w:instrText>
        </w:r>
        <w:r w:rsidR="00384140">
          <w:rPr>
            <w:noProof/>
            <w:webHidden/>
          </w:rPr>
        </w:r>
        <w:r w:rsidR="00384140">
          <w:rPr>
            <w:noProof/>
            <w:webHidden/>
          </w:rPr>
          <w:fldChar w:fldCharType="separate"/>
        </w:r>
        <w:r w:rsidR="00384140">
          <w:rPr>
            <w:noProof/>
            <w:webHidden/>
          </w:rPr>
          <w:t>7</w:t>
        </w:r>
        <w:r w:rsidR="00384140">
          <w:rPr>
            <w:noProof/>
            <w:webHidden/>
          </w:rPr>
          <w:fldChar w:fldCharType="end"/>
        </w:r>
      </w:hyperlink>
    </w:p>
    <w:p w14:paraId="56B175A1" w14:textId="787AFF3A"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10" w:history="1">
        <w:r w:rsidR="00384140" w:rsidRPr="003B769F">
          <w:rPr>
            <w:rStyle w:val="Hyperlink"/>
            <w:noProof/>
          </w:rPr>
          <w:t>e) Midpoint Peg Order Adding Liquidity at Midpoint Volume Tiers</w:t>
        </w:r>
        <w:r w:rsidR="00384140">
          <w:rPr>
            <w:noProof/>
            <w:webHidden/>
          </w:rPr>
          <w:tab/>
        </w:r>
        <w:r w:rsidR="00384140">
          <w:rPr>
            <w:noProof/>
            <w:webHidden/>
          </w:rPr>
          <w:fldChar w:fldCharType="begin"/>
        </w:r>
        <w:r w:rsidR="00384140">
          <w:rPr>
            <w:noProof/>
            <w:webHidden/>
          </w:rPr>
          <w:instrText xml:space="preserve"> PAGEREF _Toc110949410 \h </w:instrText>
        </w:r>
        <w:r w:rsidR="00384140">
          <w:rPr>
            <w:noProof/>
            <w:webHidden/>
          </w:rPr>
        </w:r>
        <w:r w:rsidR="00384140">
          <w:rPr>
            <w:noProof/>
            <w:webHidden/>
          </w:rPr>
          <w:fldChar w:fldCharType="separate"/>
        </w:r>
        <w:r w:rsidR="00384140">
          <w:rPr>
            <w:noProof/>
            <w:webHidden/>
          </w:rPr>
          <w:t>7</w:t>
        </w:r>
        <w:r w:rsidR="00384140">
          <w:rPr>
            <w:noProof/>
            <w:webHidden/>
          </w:rPr>
          <w:fldChar w:fldCharType="end"/>
        </w:r>
      </w:hyperlink>
    </w:p>
    <w:p w14:paraId="70FA9506" w14:textId="67C9C779"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11" w:history="1">
        <w:r w:rsidR="00384140" w:rsidRPr="003B769F">
          <w:rPr>
            <w:rStyle w:val="Hyperlink"/>
            <w:noProof/>
          </w:rPr>
          <w:t>f) Market Quality Tiers</w:t>
        </w:r>
        <w:r w:rsidR="00384140">
          <w:rPr>
            <w:noProof/>
            <w:webHidden/>
          </w:rPr>
          <w:tab/>
        </w:r>
        <w:r w:rsidR="00384140">
          <w:rPr>
            <w:noProof/>
            <w:webHidden/>
          </w:rPr>
          <w:fldChar w:fldCharType="begin"/>
        </w:r>
        <w:r w:rsidR="00384140">
          <w:rPr>
            <w:noProof/>
            <w:webHidden/>
          </w:rPr>
          <w:instrText xml:space="preserve"> PAGEREF _Toc110949411 \h </w:instrText>
        </w:r>
        <w:r w:rsidR="00384140">
          <w:rPr>
            <w:noProof/>
            <w:webHidden/>
          </w:rPr>
        </w:r>
        <w:r w:rsidR="00384140">
          <w:rPr>
            <w:noProof/>
            <w:webHidden/>
          </w:rPr>
          <w:fldChar w:fldCharType="separate"/>
        </w:r>
        <w:r w:rsidR="00384140">
          <w:rPr>
            <w:noProof/>
            <w:webHidden/>
          </w:rPr>
          <w:t>7</w:t>
        </w:r>
        <w:r w:rsidR="00384140">
          <w:rPr>
            <w:noProof/>
            <w:webHidden/>
          </w:rPr>
          <w:fldChar w:fldCharType="end"/>
        </w:r>
      </w:hyperlink>
    </w:p>
    <w:p w14:paraId="58340AD4" w14:textId="678602DF"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12" w:history="1">
        <w:r w:rsidR="00384140" w:rsidRPr="003B769F">
          <w:rPr>
            <w:rStyle w:val="Hyperlink"/>
            <w:noProof/>
          </w:rPr>
          <w:t>g) Step-Up Added Liquidity Rebate</w:t>
        </w:r>
        <w:r w:rsidR="00384140">
          <w:rPr>
            <w:noProof/>
            <w:webHidden/>
          </w:rPr>
          <w:tab/>
        </w:r>
        <w:r w:rsidR="00384140">
          <w:rPr>
            <w:noProof/>
            <w:webHidden/>
          </w:rPr>
          <w:fldChar w:fldCharType="begin"/>
        </w:r>
        <w:r w:rsidR="00384140">
          <w:rPr>
            <w:noProof/>
            <w:webHidden/>
          </w:rPr>
          <w:instrText xml:space="preserve"> PAGEREF _Toc110949412 \h </w:instrText>
        </w:r>
        <w:r w:rsidR="00384140">
          <w:rPr>
            <w:noProof/>
            <w:webHidden/>
          </w:rPr>
        </w:r>
        <w:r w:rsidR="00384140">
          <w:rPr>
            <w:noProof/>
            <w:webHidden/>
          </w:rPr>
          <w:fldChar w:fldCharType="separate"/>
        </w:r>
        <w:r w:rsidR="00384140">
          <w:rPr>
            <w:noProof/>
            <w:webHidden/>
          </w:rPr>
          <w:t>8</w:t>
        </w:r>
        <w:r w:rsidR="00384140">
          <w:rPr>
            <w:noProof/>
            <w:webHidden/>
          </w:rPr>
          <w:fldChar w:fldCharType="end"/>
        </w:r>
      </w:hyperlink>
    </w:p>
    <w:p w14:paraId="5F904666" w14:textId="4A6F51BE" w:rsidR="00384140" w:rsidRDefault="00DD2ED3">
      <w:pPr>
        <w:pStyle w:val="TOC1"/>
        <w:rPr>
          <w:rFonts w:asciiTheme="minorHAnsi" w:eastAsiaTheme="minorEastAsia" w:hAnsiTheme="minorHAnsi" w:cstheme="minorBidi"/>
          <w:b w:val="0"/>
          <w:bCs w:val="0"/>
          <w:color w:val="auto"/>
          <w:szCs w:val="22"/>
        </w:rPr>
      </w:pPr>
      <w:hyperlink w:anchor="_Toc110949413" w:history="1">
        <w:r w:rsidR="00384140" w:rsidRPr="003B769F">
          <w:rPr>
            <w:rStyle w:val="Hyperlink"/>
          </w:rPr>
          <w:t>2) System Connectivity Fees</w:t>
        </w:r>
        <w:r w:rsidR="00384140">
          <w:rPr>
            <w:webHidden/>
          </w:rPr>
          <w:tab/>
        </w:r>
        <w:r w:rsidR="00384140">
          <w:rPr>
            <w:webHidden/>
          </w:rPr>
          <w:fldChar w:fldCharType="begin"/>
        </w:r>
        <w:r w:rsidR="00384140">
          <w:rPr>
            <w:webHidden/>
          </w:rPr>
          <w:instrText xml:space="preserve"> PAGEREF _Toc110949413 \h </w:instrText>
        </w:r>
        <w:r w:rsidR="00384140">
          <w:rPr>
            <w:webHidden/>
          </w:rPr>
        </w:r>
        <w:r w:rsidR="00384140">
          <w:rPr>
            <w:webHidden/>
          </w:rPr>
          <w:fldChar w:fldCharType="separate"/>
        </w:r>
        <w:r w:rsidR="00384140">
          <w:rPr>
            <w:webHidden/>
          </w:rPr>
          <w:t>9</w:t>
        </w:r>
        <w:r w:rsidR="00384140">
          <w:rPr>
            <w:webHidden/>
          </w:rPr>
          <w:fldChar w:fldCharType="end"/>
        </w:r>
      </w:hyperlink>
    </w:p>
    <w:p w14:paraId="3CE999A9" w14:textId="1D142B63"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14" w:history="1">
        <w:r w:rsidR="00384140" w:rsidRPr="003B769F">
          <w:rPr>
            <w:rStyle w:val="Hyperlink"/>
            <w:noProof/>
          </w:rPr>
          <w:t>a) Monthly Member Network Connectivity Fees</w:t>
        </w:r>
        <w:r w:rsidR="00384140">
          <w:rPr>
            <w:noProof/>
            <w:webHidden/>
          </w:rPr>
          <w:tab/>
        </w:r>
        <w:r w:rsidR="00384140">
          <w:rPr>
            <w:noProof/>
            <w:webHidden/>
          </w:rPr>
          <w:fldChar w:fldCharType="begin"/>
        </w:r>
        <w:r w:rsidR="00384140">
          <w:rPr>
            <w:noProof/>
            <w:webHidden/>
          </w:rPr>
          <w:instrText xml:space="preserve"> PAGEREF _Toc110949414 \h </w:instrText>
        </w:r>
        <w:r w:rsidR="00384140">
          <w:rPr>
            <w:noProof/>
            <w:webHidden/>
          </w:rPr>
        </w:r>
        <w:r w:rsidR="00384140">
          <w:rPr>
            <w:noProof/>
            <w:webHidden/>
          </w:rPr>
          <w:fldChar w:fldCharType="separate"/>
        </w:r>
        <w:r w:rsidR="00384140">
          <w:rPr>
            <w:noProof/>
            <w:webHidden/>
          </w:rPr>
          <w:t>9</w:t>
        </w:r>
        <w:r w:rsidR="00384140">
          <w:rPr>
            <w:noProof/>
            <w:webHidden/>
          </w:rPr>
          <w:fldChar w:fldCharType="end"/>
        </w:r>
      </w:hyperlink>
    </w:p>
    <w:p w14:paraId="68B8C3BB" w14:textId="5C3F1778"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15" w:history="1">
        <w:r w:rsidR="00384140" w:rsidRPr="003B769F">
          <w:rPr>
            <w:rStyle w:val="Hyperlink"/>
            <w:noProof/>
          </w:rPr>
          <w:t>b) Monthly Non-Member Network Connectivity Fees</w:t>
        </w:r>
        <w:r w:rsidR="00384140">
          <w:rPr>
            <w:noProof/>
            <w:webHidden/>
          </w:rPr>
          <w:tab/>
        </w:r>
        <w:r w:rsidR="00384140">
          <w:rPr>
            <w:noProof/>
            <w:webHidden/>
          </w:rPr>
          <w:fldChar w:fldCharType="begin"/>
        </w:r>
        <w:r w:rsidR="00384140">
          <w:rPr>
            <w:noProof/>
            <w:webHidden/>
          </w:rPr>
          <w:instrText xml:space="preserve"> PAGEREF _Toc110949415 \h </w:instrText>
        </w:r>
        <w:r w:rsidR="00384140">
          <w:rPr>
            <w:noProof/>
            <w:webHidden/>
          </w:rPr>
        </w:r>
        <w:r w:rsidR="00384140">
          <w:rPr>
            <w:noProof/>
            <w:webHidden/>
          </w:rPr>
          <w:fldChar w:fldCharType="separate"/>
        </w:r>
        <w:r w:rsidR="00384140">
          <w:rPr>
            <w:noProof/>
            <w:webHidden/>
          </w:rPr>
          <w:t>9</w:t>
        </w:r>
        <w:r w:rsidR="00384140">
          <w:rPr>
            <w:noProof/>
            <w:webHidden/>
          </w:rPr>
          <w:fldChar w:fldCharType="end"/>
        </w:r>
      </w:hyperlink>
    </w:p>
    <w:p w14:paraId="1339C6E3" w14:textId="26D37BC7"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16" w:history="1">
        <w:r w:rsidR="00384140" w:rsidRPr="003B769F">
          <w:rPr>
            <w:rStyle w:val="Hyperlink"/>
            <w:noProof/>
          </w:rPr>
          <w:t>c) Pass-Through of External Connectivity Fees</w:t>
        </w:r>
        <w:r w:rsidR="00384140">
          <w:rPr>
            <w:noProof/>
            <w:webHidden/>
          </w:rPr>
          <w:tab/>
        </w:r>
        <w:r w:rsidR="00384140">
          <w:rPr>
            <w:noProof/>
            <w:webHidden/>
          </w:rPr>
          <w:fldChar w:fldCharType="begin"/>
        </w:r>
        <w:r w:rsidR="00384140">
          <w:rPr>
            <w:noProof/>
            <w:webHidden/>
          </w:rPr>
          <w:instrText xml:space="preserve"> PAGEREF _Toc110949416 \h </w:instrText>
        </w:r>
        <w:r w:rsidR="00384140">
          <w:rPr>
            <w:noProof/>
            <w:webHidden/>
          </w:rPr>
        </w:r>
        <w:r w:rsidR="00384140">
          <w:rPr>
            <w:noProof/>
            <w:webHidden/>
          </w:rPr>
          <w:fldChar w:fldCharType="separate"/>
        </w:r>
        <w:r w:rsidR="00384140">
          <w:rPr>
            <w:noProof/>
            <w:webHidden/>
          </w:rPr>
          <w:t>10</w:t>
        </w:r>
        <w:r w:rsidR="00384140">
          <w:rPr>
            <w:noProof/>
            <w:webHidden/>
          </w:rPr>
          <w:fldChar w:fldCharType="end"/>
        </w:r>
      </w:hyperlink>
    </w:p>
    <w:p w14:paraId="2A8F9FCC" w14:textId="682F86DD"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17" w:history="1">
        <w:r w:rsidR="00384140" w:rsidRPr="003B769F">
          <w:rPr>
            <w:rStyle w:val="Hyperlink"/>
            <w:noProof/>
          </w:rPr>
          <w:t>d) Port Fees</w:t>
        </w:r>
        <w:r w:rsidR="00384140">
          <w:rPr>
            <w:noProof/>
            <w:webHidden/>
          </w:rPr>
          <w:tab/>
        </w:r>
        <w:r w:rsidR="00384140">
          <w:rPr>
            <w:noProof/>
            <w:webHidden/>
          </w:rPr>
          <w:fldChar w:fldCharType="begin"/>
        </w:r>
        <w:r w:rsidR="00384140">
          <w:rPr>
            <w:noProof/>
            <w:webHidden/>
          </w:rPr>
          <w:instrText xml:space="preserve"> PAGEREF _Toc110949417 \h </w:instrText>
        </w:r>
        <w:r w:rsidR="00384140">
          <w:rPr>
            <w:noProof/>
            <w:webHidden/>
          </w:rPr>
        </w:r>
        <w:r w:rsidR="00384140">
          <w:rPr>
            <w:noProof/>
            <w:webHidden/>
          </w:rPr>
          <w:fldChar w:fldCharType="separate"/>
        </w:r>
        <w:r w:rsidR="00384140">
          <w:rPr>
            <w:noProof/>
            <w:webHidden/>
          </w:rPr>
          <w:t>10</w:t>
        </w:r>
        <w:r w:rsidR="00384140">
          <w:rPr>
            <w:noProof/>
            <w:webHidden/>
          </w:rPr>
          <w:fldChar w:fldCharType="end"/>
        </w:r>
      </w:hyperlink>
    </w:p>
    <w:p w14:paraId="62F22AD3" w14:textId="699371A0"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18" w:history="1">
        <w:r w:rsidR="00384140" w:rsidRPr="003B769F">
          <w:rPr>
            <w:rStyle w:val="Hyperlink"/>
            <w:noProof/>
          </w:rPr>
          <w:t>e) Member and Non-Member Technical Support Request Fee</w:t>
        </w:r>
        <w:r w:rsidR="00384140">
          <w:rPr>
            <w:noProof/>
            <w:webHidden/>
          </w:rPr>
          <w:tab/>
        </w:r>
        <w:r w:rsidR="00384140">
          <w:rPr>
            <w:noProof/>
            <w:webHidden/>
          </w:rPr>
          <w:fldChar w:fldCharType="begin"/>
        </w:r>
        <w:r w:rsidR="00384140">
          <w:rPr>
            <w:noProof/>
            <w:webHidden/>
          </w:rPr>
          <w:instrText xml:space="preserve"> PAGEREF _Toc110949418 \h </w:instrText>
        </w:r>
        <w:r w:rsidR="00384140">
          <w:rPr>
            <w:noProof/>
            <w:webHidden/>
          </w:rPr>
        </w:r>
        <w:r w:rsidR="00384140">
          <w:rPr>
            <w:noProof/>
            <w:webHidden/>
          </w:rPr>
          <w:fldChar w:fldCharType="separate"/>
        </w:r>
        <w:r w:rsidR="00384140">
          <w:rPr>
            <w:noProof/>
            <w:webHidden/>
          </w:rPr>
          <w:t>10</w:t>
        </w:r>
        <w:r w:rsidR="00384140">
          <w:rPr>
            <w:noProof/>
            <w:webHidden/>
          </w:rPr>
          <w:fldChar w:fldCharType="end"/>
        </w:r>
      </w:hyperlink>
    </w:p>
    <w:p w14:paraId="7F61D90F" w14:textId="55A4F4A3" w:rsidR="00384140" w:rsidRDefault="00DD2ED3">
      <w:pPr>
        <w:pStyle w:val="TOC1"/>
        <w:rPr>
          <w:rFonts w:asciiTheme="minorHAnsi" w:eastAsiaTheme="minorEastAsia" w:hAnsiTheme="minorHAnsi" w:cstheme="minorBidi"/>
          <w:b w:val="0"/>
          <w:bCs w:val="0"/>
          <w:color w:val="auto"/>
          <w:szCs w:val="22"/>
        </w:rPr>
      </w:pPr>
      <w:hyperlink w:anchor="_Toc110949419" w:history="1">
        <w:r w:rsidR="00384140" w:rsidRPr="003B769F">
          <w:rPr>
            <w:rStyle w:val="Hyperlink"/>
          </w:rPr>
          <w:t>3) Market Data Fees</w:t>
        </w:r>
        <w:r w:rsidR="00384140">
          <w:rPr>
            <w:webHidden/>
          </w:rPr>
          <w:tab/>
        </w:r>
        <w:r w:rsidR="00384140">
          <w:rPr>
            <w:webHidden/>
          </w:rPr>
          <w:fldChar w:fldCharType="begin"/>
        </w:r>
        <w:r w:rsidR="00384140">
          <w:rPr>
            <w:webHidden/>
          </w:rPr>
          <w:instrText xml:space="preserve"> PAGEREF _Toc110949419 \h </w:instrText>
        </w:r>
        <w:r w:rsidR="00384140">
          <w:rPr>
            <w:webHidden/>
          </w:rPr>
        </w:r>
        <w:r w:rsidR="00384140">
          <w:rPr>
            <w:webHidden/>
          </w:rPr>
          <w:fldChar w:fldCharType="separate"/>
        </w:r>
        <w:r w:rsidR="00384140">
          <w:rPr>
            <w:webHidden/>
          </w:rPr>
          <w:t>11</w:t>
        </w:r>
        <w:r w:rsidR="00384140">
          <w:rPr>
            <w:webHidden/>
          </w:rPr>
          <w:fldChar w:fldCharType="end"/>
        </w:r>
      </w:hyperlink>
    </w:p>
    <w:p w14:paraId="67D110AE" w14:textId="0446A20A"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20" w:history="1">
        <w:r w:rsidR="00384140" w:rsidRPr="003B769F">
          <w:rPr>
            <w:rStyle w:val="Hyperlink"/>
            <w:noProof/>
          </w:rPr>
          <w:t>a) MIAX Pearl Equities Top of Market (“ToM”) Feed</w:t>
        </w:r>
        <w:r w:rsidR="00384140">
          <w:rPr>
            <w:noProof/>
            <w:webHidden/>
          </w:rPr>
          <w:tab/>
        </w:r>
        <w:r w:rsidR="00384140">
          <w:rPr>
            <w:noProof/>
            <w:webHidden/>
          </w:rPr>
          <w:fldChar w:fldCharType="begin"/>
        </w:r>
        <w:r w:rsidR="00384140">
          <w:rPr>
            <w:noProof/>
            <w:webHidden/>
          </w:rPr>
          <w:instrText xml:space="preserve"> PAGEREF _Toc110949420 \h </w:instrText>
        </w:r>
        <w:r w:rsidR="00384140">
          <w:rPr>
            <w:noProof/>
            <w:webHidden/>
          </w:rPr>
        </w:r>
        <w:r w:rsidR="00384140">
          <w:rPr>
            <w:noProof/>
            <w:webHidden/>
          </w:rPr>
          <w:fldChar w:fldCharType="separate"/>
        </w:r>
        <w:r w:rsidR="00384140">
          <w:rPr>
            <w:noProof/>
            <w:webHidden/>
          </w:rPr>
          <w:t>11</w:t>
        </w:r>
        <w:r w:rsidR="00384140">
          <w:rPr>
            <w:noProof/>
            <w:webHidden/>
          </w:rPr>
          <w:fldChar w:fldCharType="end"/>
        </w:r>
      </w:hyperlink>
    </w:p>
    <w:p w14:paraId="5A79C358" w14:textId="157E1A30"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21" w:history="1">
        <w:r w:rsidR="00384140" w:rsidRPr="003B769F">
          <w:rPr>
            <w:rStyle w:val="Hyperlink"/>
            <w:noProof/>
          </w:rPr>
          <w:t>b) MIAX Pearl Equities Depth of Market (“DoM”) Feed</w:t>
        </w:r>
        <w:r w:rsidR="00384140">
          <w:rPr>
            <w:noProof/>
            <w:webHidden/>
          </w:rPr>
          <w:tab/>
        </w:r>
        <w:r w:rsidR="00384140">
          <w:rPr>
            <w:noProof/>
            <w:webHidden/>
          </w:rPr>
          <w:fldChar w:fldCharType="begin"/>
        </w:r>
        <w:r w:rsidR="00384140">
          <w:rPr>
            <w:noProof/>
            <w:webHidden/>
          </w:rPr>
          <w:instrText xml:space="preserve"> PAGEREF _Toc110949421 \h </w:instrText>
        </w:r>
        <w:r w:rsidR="00384140">
          <w:rPr>
            <w:noProof/>
            <w:webHidden/>
          </w:rPr>
        </w:r>
        <w:r w:rsidR="00384140">
          <w:rPr>
            <w:noProof/>
            <w:webHidden/>
          </w:rPr>
          <w:fldChar w:fldCharType="separate"/>
        </w:r>
        <w:r w:rsidR="00384140">
          <w:rPr>
            <w:noProof/>
            <w:webHidden/>
          </w:rPr>
          <w:t>11</w:t>
        </w:r>
        <w:r w:rsidR="00384140">
          <w:rPr>
            <w:noProof/>
            <w:webHidden/>
          </w:rPr>
          <w:fldChar w:fldCharType="end"/>
        </w:r>
      </w:hyperlink>
    </w:p>
    <w:p w14:paraId="0C47E289" w14:textId="329BA6F5" w:rsidR="00384140" w:rsidRDefault="00DD2ED3">
      <w:pPr>
        <w:pStyle w:val="TOC2"/>
        <w:tabs>
          <w:tab w:val="right" w:leader="dot" w:pos="10416"/>
        </w:tabs>
        <w:rPr>
          <w:rFonts w:asciiTheme="minorHAnsi" w:eastAsiaTheme="minorEastAsia" w:hAnsiTheme="minorHAnsi" w:cstheme="minorBidi"/>
          <w:bCs w:val="0"/>
          <w:noProof/>
          <w:color w:val="auto"/>
        </w:rPr>
      </w:pPr>
      <w:hyperlink w:anchor="_Toc110949422" w:history="1">
        <w:r w:rsidR="00384140" w:rsidRPr="003B769F">
          <w:rPr>
            <w:rStyle w:val="Hyperlink"/>
            <w:noProof/>
          </w:rPr>
          <w:t>c) Historical Market Data</w:t>
        </w:r>
        <w:r w:rsidR="00384140">
          <w:rPr>
            <w:noProof/>
            <w:webHidden/>
          </w:rPr>
          <w:tab/>
        </w:r>
        <w:r w:rsidR="00384140">
          <w:rPr>
            <w:noProof/>
            <w:webHidden/>
          </w:rPr>
          <w:fldChar w:fldCharType="begin"/>
        </w:r>
        <w:r w:rsidR="00384140">
          <w:rPr>
            <w:noProof/>
            <w:webHidden/>
          </w:rPr>
          <w:instrText xml:space="preserve"> PAGEREF _Toc110949422 \h </w:instrText>
        </w:r>
        <w:r w:rsidR="00384140">
          <w:rPr>
            <w:noProof/>
            <w:webHidden/>
          </w:rPr>
        </w:r>
        <w:r w:rsidR="00384140">
          <w:rPr>
            <w:noProof/>
            <w:webHidden/>
          </w:rPr>
          <w:fldChar w:fldCharType="separate"/>
        </w:r>
        <w:r w:rsidR="00384140">
          <w:rPr>
            <w:noProof/>
            <w:webHidden/>
          </w:rPr>
          <w:t>11</w:t>
        </w:r>
        <w:r w:rsidR="00384140">
          <w:rPr>
            <w:noProof/>
            <w:webHidden/>
          </w:rPr>
          <w:fldChar w:fldCharType="end"/>
        </w:r>
      </w:hyperlink>
    </w:p>
    <w:p w14:paraId="3CCA53E6" w14:textId="14E40861" w:rsidR="00384140" w:rsidRDefault="00DD2ED3">
      <w:pPr>
        <w:pStyle w:val="TOC1"/>
        <w:rPr>
          <w:rFonts w:asciiTheme="minorHAnsi" w:eastAsiaTheme="minorEastAsia" w:hAnsiTheme="minorHAnsi" w:cstheme="minorBidi"/>
          <w:b w:val="0"/>
          <w:bCs w:val="0"/>
          <w:color w:val="auto"/>
          <w:szCs w:val="22"/>
        </w:rPr>
      </w:pPr>
      <w:hyperlink w:anchor="_Toc110949423" w:history="1">
        <w:r w:rsidR="00384140" w:rsidRPr="003B769F">
          <w:rPr>
            <w:rStyle w:val="Hyperlink"/>
          </w:rPr>
          <w:t>4) Additional Fees</w:t>
        </w:r>
        <w:r w:rsidR="00384140">
          <w:rPr>
            <w:webHidden/>
          </w:rPr>
          <w:tab/>
        </w:r>
        <w:r w:rsidR="00384140">
          <w:rPr>
            <w:webHidden/>
          </w:rPr>
          <w:fldChar w:fldCharType="begin"/>
        </w:r>
        <w:r w:rsidR="00384140">
          <w:rPr>
            <w:webHidden/>
          </w:rPr>
          <w:instrText xml:space="preserve"> PAGEREF _Toc110949423 \h </w:instrText>
        </w:r>
        <w:r w:rsidR="00384140">
          <w:rPr>
            <w:webHidden/>
          </w:rPr>
        </w:r>
        <w:r w:rsidR="00384140">
          <w:rPr>
            <w:webHidden/>
          </w:rPr>
          <w:fldChar w:fldCharType="separate"/>
        </w:r>
        <w:r w:rsidR="00384140">
          <w:rPr>
            <w:webHidden/>
          </w:rPr>
          <w:t>11</w:t>
        </w:r>
        <w:r w:rsidR="00384140">
          <w:rPr>
            <w:webHidden/>
          </w:rPr>
          <w:fldChar w:fldCharType="end"/>
        </w:r>
      </w:hyperlink>
    </w:p>
    <w:p w14:paraId="5F895E1F" w14:textId="04A2B501" w:rsidR="006C214E" w:rsidRDefault="002E7BE7" w:rsidP="002E7BE7">
      <w:pPr>
        <w:pStyle w:val="TOCHeading"/>
        <w:sectPr w:rsidR="006C214E" w:rsidSect="00264E8C">
          <w:headerReference w:type="default" r:id="rId12"/>
          <w:pgSz w:w="12240" w:h="15840"/>
          <w:pgMar w:top="1620" w:right="907" w:bottom="1440" w:left="907" w:header="648" w:footer="302" w:gutter="0"/>
          <w:pgNumType w:fmt="lowerRoman" w:start="1"/>
          <w:cols w:space="720"/>
          <w:docGrid w:linePitch="360"/>
        </w:sectPr>
      </w:pPr>
      <w:r>
        <w:rPr>
          <w:color w:val="414041"/>
          <w:sz w:val="20"/>
          <w:szCs w:val="20"/>
        </w:rPr>
        <w:fldChar w:fldCharType="end"/>
      </w:r>
    </w:p>
    <w:p w14:paraId="4F4D74A1" w14:textId="77777777" w:rsidR="003A11A9" w:rsidRPr="00AC0B5B" w:rsidRDefault="006E1BB0" w:rsidP="00AC0B5B">
      <w:pPr>
        <w:pStyle w:val="Heading1"/>
      </w:pPr>
      <w:bookmarkStart w:id="1" w:name="_Toc110949403"/>
      <w:r w:rsidRPr="00AC0B5B">
        <w:lastRenderedPageBreak/>
        <w:t>Definitions</w:t>
      </w:r>
      <w:bookmarkEnd w:id="1"/>
    </w:p>
    <w:p w14:paraId="17C53367" w14:textId="1F2B42E8" w:rsid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 xml:space="preserve">For purposes of assessing fees, the following definitions should serve as guidance.  Unless otherwise specified, capitalized terms used in this fee schedule are defined as set forth in the MIAX </w:t>
      </w:r>
      <w:r w:rsidR="00D27780">
        <w:rPr>
          <w:rFonts w:cstheme="minorHAnsi"/>
          <w:color w:val="414041" w:themeColor="text1"/>
          <w:sz w:val="22"/>
          <w:szCs w:val="22"/>
        </w:rPr>
        <w:t>Pearl</w:t>
      </w:r>
      <w:r w:rsidRPr="00683800">
        <w:rPr>
          <w:rFonts w:cstheme="minorHAnsi"/>
          <w:color w:val="414041" w:themeColor="text1"/>
          <w:sz w:val="22"/>
          <w:szCs w:val="22"/>
        </w:rPr>
        <w:t xml:space="preserve"> Equities Rules.  Rebates and fees are listed per share unless otherwise noted.</w:t>
      </w:r>
    </w:p>
    <w:p w14:paraId="59B27042" w14:textId="48945643" w:rsidR="002D3D22" w:rsidRPr="002D3D22" w:rsidRDefault="002D3D22" w:rsidP="00683800">
      <w:pPr>
        <w:widowControl w:val="0"/>
        <w:jc w:val="both"/>
        <w:rPr>
          <w:rFonts w:cstheme="minorHAnsi"/>
          <w:color w:val="414041" w:themeColor="text1"/>
          <w:sz w:val="22"/>
          <w:szCs w:val="22"/>
        </w:rPr>
      </w:pPr>
    </w:p>
    <w:p w14:paraId="71B53D27" w14:textId="6BBF0C7C" w:rsidR="002D3D22" w:rsidRDefault="002D3D22" w:rsidP="002D3D22">
      <w:pPr>
        <w:widowControl w:val="0"/>
        <w:jc w:val="both"/>
        <w:rPr>
          <w:rFonts w:cstheme="minorHAnsi"/>
          <w:color w:val="414041" w:themeColor="text1"/>
          <w:sz w:val="22"/>
          <w:szCs w:val="22"/>
        </w:rPr>
      </w:pPr>
      <w:r w:rsidRPr="002D3D22">
        <w:rPr>
          <w:rFonts w:cstheme="minorHAnsi"/>
          <w:color w:val="414041" w:themeColor="text1"/>
          <w:sz w:val="22"/>
          <w:szCs w:val="22"/>
        </w:rPr>
        <w:t>“ADAV” means average daily added volume calculated as the number of shares added per day and “ADV” means average daily volume calculated as the number of shares added or removed, combined, per day. ADAV and ADV are calculated on a monthly basis.</w:t>
      </w:r>
    </w:p>
    <w:p w14:paraId="1B4EEB1C" w14:textId="77777777" w:rsidR="002D3D22" w:rsidRPr="002D3D22" w:rsidRDefault="002D3D22" w:rsidP="002D3D22">
      <w:pPr>
        <w:widowControl w:val="0"/>
        <w:jc w:val="both"/>
        <w:rPr>
          <w:rFonts w:cstheme="minorHAnsi"/>
          <w:color w:val="414041" w:themeColor="text1"/>
          <w:sz w:val="22"/>
          <w:szCs w:val="22"/>
        </w:rPr>
      </w:pPr>
    </w:p>
    <w:p w14:paraId="50F7EDF7" w14:textId="245F82BD" w:rsidR="002D3D22" w:rsidRPr="002D3D22" w:rsidRDefault="002D3D22" w:rsidP="002D3D22">
      <w:pPr>
        <w:numPr>
          <w:ilvl w:val="0"/>
          <w:numId w:val="64"/>
        </w:numPr>
        <w:shd w:val="clear" w:color="auto" w:fill="FFFFFF"/>
        <w:spacing w:after="240"/>
        <w:rPr>
          <w:rFonts w:cstheme="minorHAnsi"/>
          <w:color w:val="414041" w:themeColor="text1"/>
          <w:sz w:val="22"/>
          <w:szCs w:val="22"/>
        </w:rPr>
      </w:pPr>
      <w:r w:rsidRPr="002D3D22">
        <w:rPr>
          <w:rFonts w:cstheme="minorHAnsi"/>
          <w:color w:val="414041" w:themeColor="text1"/>
          <w:sz w:val="22"/>
          <w:szCs w:val="22"/>
        </w:rPr>
        <w:t>The Exchange excludes from its calculation of ADAV and ADV shares added or removed on any day that the Exchange’s system experiences a disruption that lasts for more than 60 minutes during regular trading hours, on any day with a scheduled early market close, and on the “Russell Reconstitution Day” (typically the last Friday in June).</w:t>
      </w:r>
    </w:p>
    <w:p w14:paraId="5270ECAE" w14:textId="77777777" w:rsidR="002D3D22" w:rsidRPr="002D3D22" w:rsidRDefault="002D3D22" w:rsidP="002D3D22">
      <w:pPr>
        <w:numPr>
          <w:ilvl w:val="0"/>
          <w:numId w:val="64"/>
        </w:numPr>
        <w:shd w:val="clear" w:color="auto" w:fill="FFFFFF"/>
        <w:spacing w:after="240"/>
        <w:rPr>
          <w:rFonts w:cstheme="minorHAnsi"/>
          <w:color w:val="414041" w:themeColor="text1"/>
          <w:sz w:val="22"/>
          <w:szCs w:val="22"/>
        </w:rPr>
      </w:pPr>
      <w:r w:rsidRPr="002D3D22">
        <w:rPr>
          <w:rFonts w:cstheme="minorHAnsi"/>
          <w:color w:val="414041" w:themeColor="text1"/>
          <w:sz w:val="22"/>
          <w:szCs w:val="22"/>
        </w:rPr>
        <w:t>Routed shares are not included in the ADAV or ADV calculation.</w:t>
      </w:r>
    </w:p>
    <w:p w14:paraId="0351C758" w14:textId="36FB0CF8" w:rsidR="00683800" w:rsidRPr="002D3D22" w:rsidRDefault="002D3D22" w:rsidP="00683800">
      <w:pPr>
        <w:widowControl w:val="0"/>
        <w:numPr>
          <w:ilvl w:val="0"/>
          <w:numId w:val="64"/>
        </w:numPr>
        <w:shd w:val="clear" w:color="auto" w:fill="FFFFFF"/>
        <w:spacing w:after="240"/>
        <w:jc w:val="both"/>
        <w:rPr>
          <w:rFonts w:cstheme="minorHAnsi"/>
          <w:color w:val="414041" w:themeColor="text1"/>
          <w:sz w:val="22"/>
          <w:szCs w:val="22"/>
        </w:rPr>
      </w:pPr>
      <w:r w:rsidRPr="002D3D22">
        <w:rPr>
          <w:rFonts w:cstheme="minorHAnsi"/>
          <w:color w:val="414041" w:themeColor="text1"/>
          <w:sz w:val="22"/>
          <w:szCs w:val="22"/>
        </w:rPr>
        <w:t>With prior notice to the Exchange, an Equity Member may aggregate ADAV or ADV with other Equity Members that control, are controlled by, or are under common control with such Equity Member (as evidenced on such Equity Member’s Form BD).</w:t>
      </w:r>
    </w:p>
    <w:p w14:paraId="73593509" w14:textId="57499F3E" w:rsidR="00683800" w:rsidRP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 xml:space="preserve">“Cross-connect” occurs when the affected third-party system is sited at the same data center where MIAX </w:t>
      </w:r>
      <w:r w:rsidR="00D27780">
        <w:rPr>
          <w:rFonts w:cstheme="minorHAnsi"/>
          <w:color w:val="414041" w:themeColor="text1"/>
          <w:sz w:val="22"/>
          <w:szCs w:val="22"/>
        </w:rPr>
        <w:t>Pearl</w:t>
      </w:r>
      <w:r w:rsidRPr="00683800">
        <w:rPr>
          <w:rFonts w:cstheme="minorHAnsi"/>
          <w:color w:val="414041" w:themeColor="text1"/>
          <w:sz w:val="22"/>
          <w:szCs w:val="22"/>
        </w:rPr>
        <w:t xml:space="preserve"> Equities systems are sited, and the third-party connects to MIAX </w:t>
      </w:r>
      <w:r w:rsidR="00D27780">
        <w:rPr>
          <w:rFonts w:cstheme="minorHAnsi"/>
          <w:color w:val="414041" w:themeColor="text1"/>
          <w:sz w:val="22"/>
          <w:szCs w:val="22"/>
        </w:rPr>
        <w:t>Pearl</w:t>
      </w:r>
      <w:r w:rsidRPr="00683800">
        <w:rPr>
          <w:rFonts w:cstheme="minorHAnsi"/>
          <w:color w:val="414041" w:themeColor="text1"/>
          <w:sz w:val="22"/>
          <w:szCs w:val="22"/>
        </w:rPr>
        <w:t xml:space="preserve"> Equities through the data center, rather than connecting directly to MIAX </w:t>
      </w:r>
      <w:r w:rsidR="00D27780">
        <w:rPr>
          <w:rFonts w:cstheme="minorHAnsi"/>
          <w:color w:val="414041" w:themeColor="text1"/>
          <w:sz w:val="22"/>
          <w:szCs w:val="22"/>
        </w:rPr>
        <w:t>Pearl</w:t>
      </w:r>
      <w:r w:rsidRPr="00683800">
        <w:rPr>
          <w:rFonts w:cstheme="minorHAnsi"/>
          <w:color w:val="414041" w:themeColor="text1"/>
          <w:sz w:val="22"/>
          <w:szCs w:val="22"/>
        </w:rPr>
        <w:t xml:space="preserve"> Equities outside of the data center.</w:t>
      </w:r>
    </w:p>
    <w:p w14:paraId="405491B5" w14:textId="77777777" w:rsidR="00683800" w:rsidRPr="00683800" w:rsidRDefault="00683800" w:rsidP="00683800">
      <w:pPr>
        <w:widowControl w:val="0"/>
        <w:jc w:val="both"/>
        <w:rPr>
          <w:rFonts w:cstheme="minorHAnsi"/>
          <w:color w:val="414041" w:themeColor="text1"/>
          <w:sz w:val="22"/>
          <w:szCs w:val="22"/>
        </w:rPr>
      </w:pPr>
    </w:p>
    <w:p w14:paraId="0766ABD7" w14:textId="77777777" w:rsidR="00683800" w:rsidRP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“Exchange System Disruption” means an outage of a Matching Engine or collective Matching Engines for a period of two consecutive hours or more, during trading hours.</w:t>
      </w:r>
    </w:p>
    <w:p w14:paraId="08DB1DD7" w14:textId="77777777" w:rsidR="00683800" w:rsidRPr="00683800" w:rsidRDefault="00683800" w:rsidP="00683800">
      <w:pPr>
        <w:widowControl w:val="0"/>
        <w:jc w:val="both"/>
        <w:rPr>
          <w:rFonts w:cstheme="minorHAnsi"/>
          <w:color w:val="414041" w:themeColor="text1"/>
          <w:sz w:val="22"/>
          <w:szCs w:val="22"/>
        </w:rPr>
      </w:pPr>
    </w:p>
    <w:p w14:paraId="59148690" w14:textId="2A73C02B" w:rsidR="00683800" w:rsidRP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 xml:space="preserve">“Extranet Provider” means a technology provider that connects with MIAX </w:t>
      </w:r>
      <w:r w:rsidR="00D27780">
        <w:rPr>
          <w:rFonts w:cstheme="minorHAnsi"/>
          <w:color w:val="414041" w:themeColor="text1"/>
          <w:sz w:val="22"/>
          <w:szCs w:val="22"/>
        </w:rPr>
        <w:t>Pearl</w:t>
      </w:r>
      <w:r w:rsidRPr="00683800">
        <w:rPr>
          <w:rFonts w:cstheme="minorHAnsi"/>
          <w:color w:val="414041" w:themeColor="text1"/>
          <w:sz w:val="22"/>
          <w:szCs w:val="22"/>
        </w:rPr>
        <w:t xml:space="preserve"> Equities systems and in turn provides such connectivity to MIAX </w:t>
      </w:r>
      <w:r w:rsidR="00D27780">
        <w:rPr>
          <w:rFonts w:cstheme="minorHAnsi"/>
          <w:color w:val="414041" w:themeColor="text1"/>
          <w:sz w:val="22"/>
          <w:szCs w:val="22"/>
        </w:rPr>
        <w:t>Pearl</w:t>
      </w:r>
      <w:r w:rsidRPr="00683800">
        <w:rPr>
          <w:rFonts w:cstheme="minorHAnsi"/>
          <w:color w:val="414041" w:themeColor="text1"/>
          <w:sz w:val="22"/>
          <w:szCs w:val="22"/>
        </w:rPr>
        <w:t xml:space="preserve"> Equities participants that do not connect directly with MIAX </w:t>
      </w:r>
      <w:r w:rsidR="00D27780">
        <w:rPr>
          <w:rFonts w:cstheme="minorHAnsi"/>
          <w:color w:val="414041" w:themeColor="text1"/>
          <w:sz w:val="22"/>
          <w:szCs w:val="22"/>
        </w:rPr>
        <w:t>Pearl</w:t>
      </w:r>
      <w:r w:rsidRPr="00683800">
        <w:rPr>
          <w:rFonts w:cstheme="minorHAnsi"/>
          <w:color w:val="414041" w:themeColor="text1"/>
          <w:sz w:val="22"/>
          <w:szCs w:val="22"/>
        </w:rPr>
        <w:t xml:space="preserve"> Equities.</w:t>
      </w:r>
    </w:p>
    <w:p w14:paraId="037B2AC4" w14:textId="77777777" w:rsidR="00683800" w:rsidRPr="00683800" w:rsidRDefault="00683800" w:rsidP="00683800">
      <w:pPr>
        <w:widowControl w:val="0"/>
        <w:jc w:val="both"/>
        <w:rPr>
          <w:rFonts w:cstheme="minorHAnsi"/>
          <w:color w:val="414041" w:themeColor="text1"/>
          <w:sz w:val="22"/>
          <w:szCs w:val="22"/>
        </w:rPr>
      </w:pPr>
    </w:p>
    <w:p w14:paraId="27245CA0" w14:textId="77777777" w:rsidR="00683800" w:rsidRP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“FIX Order by Order” means a type of FXD Port that sends all order activities other than reject message, including Execution Reports and Trade Cancel/Correct messages.</w:t>
      </w:r>
    </w:p>
    <w:p w14:paraId="39021B2D" w14:textId="77777777" w:rsidR="00683800" w:rsidRPr="00683800" w:rsidRDefault="00683800" w:rsidP="00683800">
      <w:pPr>
        <w:widowControl w:val="0"/>
        <w:jc w:val="both"/>
        <w:rPr>
          <w:rFonts w:cstheme="minorHAnsi"/>
          <w:color w:val="414041" w:themeColor="text1"/>
          <w:sz w:val="22"/>
          <w:szCs w:val="22"/>
        </w:rPr>
      </w:pPr>
    </w:p>
    <w:p w14:paraId="20D957E7" w14:textId="77777777" w:rsidR="00683800" w:rsidRP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“FIX Order Interface” or “FOI” means the Financial Information Exchange interface for certain order types as set forth in Exchange Rule 2614.</w:t>
      </w:r>
    </w:p>
    <w:p w14:paraId="4D0E087E" w14:textId="77777777" w:rsidR="00683800" w:rsidRPr="00683800" w:rsidRDefault="00683800" w:rsidP="00683800">
      <w:pPr>
        <w:widowControl w:val="0"/>
        <w:jc w:val="both"/>
        <w:rPr>
          <w:rFonts w:cstheme="minorHAnsi"/>
          <w:color w:val="414041" w:themeColor="text1"/>
          <w:sz w:val="22"/>
          <w:szCs w:val="22"/>
        </w:rPr>
      </w:pPr>
    </w:p>
    <w:p w14:paraId="2E689FDE" w14:textId="77777777" w:rsidR="00683800" w:rsidRP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 xml:space="preserve">“FIX Port” means a FIX port that allows Equity Members to send orders and other messages using the FIX protocol.  </w:t>
      </w:r>
    </w:p>
    <w:p w14:paraId="7EC9D62B" w14:textId="77777777" w:rsidR="00683800" w:rsidRPr="00683800" w:rsidRDefault="00683800" w:rsidP="00683800">
      <w:pPr>
        <w:widowControl w:val="0"/>
        <w:jc w:val="both"/>
        <w:rPr>
          <w:rFonts w:cstheme="minorHAnsi"/>
          <w:color w:val="414041" w:themeColor="text1"/>
          <w:sz w:val="22"/>
          <w:szCs w:val="22"/>
        </w:rPr>
      </w:pPr>
    </w:p>
    <w:p w14:paraId="202A3D9D" w14:textId="77777777" w:rsidR="00683800" w:rsidRP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“Full Service Port” or “FSP” means an MEO port that supports all MEO order input message types.</w:t>
      </w:r>
    </w:p>
    <w:p w14:paraId="0F8A6B9B" w14:textId="77777777" w:rsidR="00683800" w:rsidRPr="00683800" w:rsidRDefault="00683800" w:rsidP="00683800">
      <w:pPr>
        <w:widowControl w:val="0"/>
        <w:jc w:val="both"/>
        <w:rPr>
          <w:rFonts w:cstheme="minorHAnsi"/>
          <w:color w:val="414041" w:themeColor="text1"/>
          <w:sz w:val="22"/>
          <w:szCs w:val="22"/>
        </w:rPr>
      </w:pPr>
    </w:p>
    <w:p w14:paraId="6E47F464" w14:textId="69711C59" w:rsidR="008C6031"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 xml:space="preserve">“FIX Drop Port” or “FXD” means a messaging interface that provides real-time order activities of firms’ MEO and FOI orders. MIAX </w:t>
      </w:r>
      <w:r w:rsidR="00D27780">
        <w:rPr>
          <w:rFonts w:cstheme="minorHAnsi"/>
          <w:color w:val="414041" w:themeColor="text1"/>
          <w:sz w:val="22"/>
          <w:szCs w:val="22"/>
        </w:rPr>
        <w:t>Pearl</w:t>
      </w:r>
      <w:r w:rsidRPr="00683800">
        <w:rPr>
          <w:rFonts w:cstheme="minorHAnsi"/>
          <w:color w:val="414041" w:themeColor="text1"/>
          <w:sz w:val="22"/>
          <w:szCs w:val="22"/>
        </w:rPr>
        <w:t xml:space="preserve"> Equities offers two types of FXD ports: (1) Standard FIX Drop; and (2) FIX Order by Order Drop. FXD Ports may be used by Equities Market Makers, Order Entry Firms and Clearing firms.</w:t>
      </w:r>
    </w:p>
    <w:p w14:paraId="144A77DC" w14:textId="352E544C" w:rsidR="008C6031" w:rsidRDefault="008C6031" w:rsidP="00683800">
      <w:pPr>
        <w:widowControl w:val="0"/>
        <w:jc w:val="both"/>
        <w:rPr>
          <w:rFonts w:cstheme="minorHAnsi"/>
          <w:color w:val="414041" w:themeColor="text1"/>
          <w:sz w:val="22"/>
          <w:szCs w:val="22"/>
        </w:rPr>
      </w:pPr>
    </w:p>
    <w:p w14:paraId="4D64B54F" w14:textId="2F123BFA" w:rsidR="008C6031" w:rsidRDefault="008C6031" w:rsidP="00683800">
      <w:pPr>
        <w:widowControl w:val="0"/>
        <w:jc w:val="both"/>
        <w:rPr>
          <w:rFonts w:cstheme="minorHAnsi"/>
          <w:color w:val="414041" w:themeColor="text1"/>
          <w:sz w:val="22"/>
          <w:szCs w:val="22"/>
        </w:rPr>
      </w:pPr>
    </w:p>
    <w:p w14:paraId="6993A2BC" w14:textId="77777777" w:rsidR="008C6031" w:rsidRPr="00683800" w:rsidRDefault="008C6031" w:rsidP="00683800">
      <w:pPr>
        <w:widowControl w:val="0"/>
        <w:jc w:val="both"/>
        <w:rPr>
          <w:rFonts w:cstheme="minorHAnsi"/>
          <w:color w:val="414041" w:themeColor="text1"/>
          <w:sz w:val="22"/>
          <w:szCs w:val="22"/>
        </w:rPr>
      </w:pPr>
    </w:p>
    <w:p w14:paraId="505476DC" w14:textId="26A18E07" w:rsidR="00783383" w:rsidRPr="00783383" w:rsidRDefault="00783383" w:rsidP="00783383">
      <w:pPr>
        <w:widowControl w:val="0"/>
        <w:spacing w:after="120"/>
        <w:rPr>
          <w:rFonts w:cstheme="minorHAnsi"/>
          <w:color w:val="414041" w:themeColor="text1"/>
          <w:sz w:val="22"/>
          <w:szCs w:val="22"/>
        </w:rPr>
      </w:pPr>
      <w:r w:rsidRPr="00783383">
        <w:rPr>
          <w:rFonts w:cstheme="minorHAnsi"/>
          <w:color w:val="414041" w:themeColor="text1"/>
          <w:sz w:val="22"/>
          <w:szCs w:val="22"/>
        </w:rPr>
        <w:lastRenderedPageBreak/>
        <w:t>“Market Quality Securities” or “MQ Securities” shall mean a list of securities designated as such, that are used for the purposes of qualifying for the Market Quality Tiers. The universe of these securities will be determined by the Exchange and published on the Exchange’s website.</w:t>
      </w:r>
    </w:p>
    <w:p w14:paraId="4ECA5B0F" w14:textId="1CE2D68E" w:rsidR="00683800" w:rsidRPr="00683800" w:rsidRDefault="00683800" w:rsidP="00783383">
      <w:pPr>
        <w:widowControl w:val="0"/>
        <w:jc w:val="both"/>
        <w:rPr>
          <w:rFonts w:cstheme="minorHAnsi"/>
          <w:color w:val="414041" w:themeColor="text1"/>
          <w:sz w:val="22"/>
          <w:szCs w:val="22"/>
        </w:rPr>
      </w:pPr>
      <w:r w:rsidRPr="00683800">
        <w:rPr>
          <w:rFonts w:cstheme="minorHAnsi"/>
          <w:color w:val="414041" w:themeColor="text1"/>
          <w:sz w:val="22"/>
          <w:szCs w:val="22"/>
        </w:rPr>
        <w:t>“MENI” means the MIAX Express Network Interconnect, which is a network infrastructure which provides Equity Members and non-Members network connectivity to the trading platforms, market data systems, test systems, and disaster recovery facilities of the Exchange.  The MENI consists of the low latency and ultra-low latency (“ULL”) connectivity options set forth in the Exchange’s Fee Schedule.</w:t>
      </w:r>
    </w:p>
    <w:p w14:paraId="44141D80" w14:textId="77777777" w:rsidR="00683800" w:rsidRPr="00683800" w:rsidRDefault="00683800" w:rsidP="00683800">
      <w:pPr>
        <w:widowControl w:val="0"/>
        <w:jc w:val="both"/>
        <w:rPr>
          <w:rFonts w:cstheme="minorHAnsi"/>
          <w:color w:val="414041" w:themeColor="text1"/>
          <w:sz w:val="22"/>
          <w:szCs w:val="22"/>
        </w:rPr>
      </w:pPr>
    </w:p>
    <w:p w14:paraId="52BC832D" w14:textId="4DC23BD1" w:rsid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 xml:space="preserve">“MEO Interface” or “MEO” means a binary order interface for certain order types as set forth in Rule 2614 into the MIAX </w:t>
      </w:r>
      <w:r w:rsidR="00D27780">
        <w:rPr>
          <w:rFonts w:cstheme="minorHAnsi"/>
          <w:color w:val="414041" w:themeColor="text1"/>
          <w:sz w:val="22"/>
          <w:szCs w:val="22"/>
        </w:rPr>
        <w:t>Pearl</w:t>
      </w:r>
      <w:r w:rsidRPr="00683800">
        <w:rPr>
          <w:rFonts w:cstheme="minorHAnsi"/>
          <w:color w:val="414041" w:themeColor="text1"/>
          <w:sz w:val="22"/>
          <w:szCs w:val="22"/>
        </w:rPr>
        <w:t xml:space="preserve"> System.  See Exchange Rule 100.</w:t>
      </w:r>
    </w:p>
    <w:p w14:paraId="2F7D9C6A" w14:textId="1B04EDC1" w:rsidR="008C6031" w:rsidRDefault="008C6031" w:rsidP="00683800">
      <w:pPr>
        <w:widowControl w:val="0"/>
        <w:jc w:val="both"/>
        <w:rPr>
          <w:rFonts w:cstheme="minorHAnsi"/>
          <w:color w:val="414041" w:themeColor="text1"/>
          <w:sz w:val="22"/>
          <w:szCs w:val="22"/>
        </w:rPr>
      </w:pPr>
    </w:p>
    <w:p w14:paraId="6BAC7706" w14:textId="77777777" w:rsidR="00DF1C5E" w:rsidRPr="00DF1C5E" w:rsidRDefault="00DF1C5E" w:rsidP="00DF1C5E">
      <w:pPr>
        <w:widowControl w:val="0"/>
        <w:rPr>
          <w:rFonts w:cstheme="minorHAnsi"/>
          <w:color w:val="414041" w:themeColor="text1"/>
          <w:sz w:val="22"/>
          <w:szCs w:val="22"/>
        </w:rPr>
      </w:pPr>
      <w:r w:rsidRPr="00DF1C5E">
        <w:rPr>
          <w:rFonts w:cstheme="minorHAnsi"/>
          <w:color w:val="414041" w:themeColor="text1"/>
          <w:sz w:val="22"/>
          <w:szCs w:val="22"/>
        </w:rPr>
        <w:t>“Percent Time at NBBO” means the aggregate of the percentage of time during regular trading hours where a Member has a displayed order of at least one round lot at the national best bid (“NBB”) or national best offer (“NBO”).</w:t>
      </w:r>
    </w:p>
    <w:p w14:paraId="250140B9" w14:textId="7F9C665F" w:rsidR="00683800" w:rsidRPr="00683800" w:rsidRDefault="00683800" w:rsidP="00683800">
      <w:pPr>
        <w:widowControl w:val="0"/>
        <w:jc w:val="both"/>
        <w:rPr>
          <w:rFonts w:cstheme="minorHAnsi"/>
          <w:color w:val="414041" w:themeColor="text1"/>
          <w:sz w:val="22"/>
          <w:szCs w:val="22"/>
        </w:rPr>
      </w:pPr>
    </w:p>
    <w:p w14:paraId="3C1CB7D9" w14:textId="77777777" w:rsidR="00683800" w:rsidRP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“Service Bureau” means a technology provider that offers and supplies technology and technology services to a trading firm that does not have its own proprietary system.</w:t>
      </w:r>
    </w:p>
    <w:p w14:paraId="34C5D3FA" w14:textId="77777777" w:rsidR="00683800" w:rsidRPr="00683800" w:rsidRDefault="00683800" w:rsidP="00683800">
      <w:pPr>
        <w:widowControl w:val="0"/>
        <w:jc w:val="both"/>
        <w:rPr>
          <w:rFonts w:cstheme="minorHAnsi"/>
          <w:color w:val="414041" w:themeColor="text1"/>
          <w:sz w:val="22"/>
          <w:szCs w:val="22"/>
        </w:rPr>
      </w:pPr>
    </w:p>
    <w:p w14:paraId="2461F6FD" w14:textId="654FB37D" w:rsid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“Standard FIX Drop” means an FXD Port that only sends trade information, including Execution Reports and Trade Cancel/Correct messages.</w:t>
      </w:r>
    </w:p>
    <w:p w14:paraId="3DA5A82A" w14:textId="09059F86" w:rsidR="00AC349A" w:rsidRDefault="00AC349A" w:rsidP="00AC349A">
      <w:pPr>
        <w:widowControl w:val="0"/>
        <w:jc w:val="both"/>
        <w:rPr>
          <w:rFonts w:cstheme="minorHAnsi"/>
          <w:color w:val="414041" w:themeColor="text1"/>
          <w:sz w:val="22"/>
          <w:szCs w:val="22"/>
        </w:rPr>
      </w:pPr>
    </w:p>
    <w:p w14:paraId="554B241B" w14:textId="77777777" w:rsidR="00AC349A" w:rsidRPr="00AC349A" w:rsidRDefault="00AC349A" w:rsidP="00AC349A">
      <w:pPr>
        <w:pStyle w:val="Default"/>
        <w:jc w:val="both"/>
        <w:rPr>
          <w:rFonts w:eastAsia="Times New Roman" w:cstheme="minorHAnsi"/>
          <w:color w:val="414041" w:themeColor="text1"/>
          <w:sz w:val="22"/>
          <w:szCs w:val="22"/>
        </w:rPr>
      </w:pPr>
      <w:r w:rsidRPr="00AC349A">
        <w:rPr>
          <w:rFonts w:eastAsia="Times New Roman" w:cstheme="minorHAnsi"/>
          <w:color w:val="414041" w:themeColor="text1"/>
          <w:sz w:val="22"/>
          <w:szCs w:val="22"/>
        </w:rPr>
        <w:t>“Step-Up ADAV as a % of TCV” means ADAV as a percent of TCV in the relevant baseline month subtracted from the current month’s ADAV as a percent of TCV.</w:t>
      </w:r>
    </w:p>
    <w:p w14:paraId="4EF8DFA2" w14:textId="2E6A591D" w:rsidR="00AC349A" w:rsidRDefault="00AC349A" w:rsidP="00683800">
      <w:pPr>
        <w:widowControl w:val="0"/>
        <w:jc w:val="both"/>
        <w:rPr>
          <w:rFonts w:cstheme="minorHAnsi"/>
          <w:color w:val="414041" w:themeColor="text1"/>
          <w:sz w:val="22"/>
          <w:szCs w:val="22"/>
        </w:rPr>
      </w:pPr>
    </w:p>
    <w:p w14:paraId="45553D8F" w14:textId="0DE990EA" w:rsidR="002D3D22" w:rsidRDefault="002D3D22" w:rsidP="00683800">
      <w:pPr>
        <w:widowControl w:val="0"/>
        <w:jc w:val="both"/>
        <w:rPr>
          <w:rFonts w:cstheme="minorHAnsi"/>
          <w:color w:val="414041" w:themeColor="text1"/>
          <w:sz w:val="22"/>
          <w:szCs w:val="22"/>
        </w:rPr>
      </w:pPr>
      <w:r w:rsidRPr="002D3D22">
        <w:rPr>
          <w:rFonts w:cstheme="minorHAnsi"/>
          <w:color w:val="414041" w:themeColor="text1"/>
          <w:sz w:val="22"/>
          <w:szCs w:val="22"/>
        </w:rPr>
        <w:t xml:space="preserve">“TCV” means total consolidated volume calculated as the volume in shares reported by all exchanges and reporting facilities to a consolidated </w:t>
      </w:r>
      <w:proofErr w:type="gramStart"/>
      <w:r w:rsidRPr="002D3D22">
        <w:rPr>
          <w:rFonts w:cstheme="minorHAnsi"/>
          <w:color w:val="414041" w:themeColor="text1"/>
          <w:sz w:val="22"/>
          <w:szCs w:val="22"/>
        </w:rPr>
        <w:t>transaction reporting</w:t>
      </w:r>
      <w:proofErr w:type="gramEnd"/>
      <w:r w:rsidRPr="002D3D22">
        <w:rPr>
          <w:rFonts w:cstheme="minorHAnsi"/>
          <w:color w:val="414041" w:themeColor="text1"/>
          <w:sz w:val="22"/>
          <w:szCs w:val="22"/>
        </w:rPr>
        <w:t xml:space="preserve"> plan for the month for which the fees apply.  The Exchange excludes from its calculation of TCV volume on any given day that the Exchange’s system experiences a disruption that lasts for more than 60 minutes during Regular Trading Hours, on any day with a scheduled early market close, and on the “Russell Reconstitution Day” (typically the last Friday in June).</w:t>
      </w:r>
    </w:p>
    <w:p w14:paraId="7B605F54" w14:textId="77777777" w:rsidR="002D3D22" w:rsidRPr="00683800" w:rsidRDefault="002D3D22" w:rsidP="00683800">
      <w:pPr>
        <w:widowControl w:val="0"/>
        <w:jc w:val="both"/>
        <w:rPr>
          <w:rFonts w:cstheme="minorHAnsi"/>
          <w:color w:val="414041" w:themeColor="text1"/>
          <w:sz w:val="22"/>
          <w:szCs w:val="22"/>
        </w:rPr>
      </w:pPr>
    </w:p>
    <w:p w14:paraId="042F4814" w14:textId="678A1937" w:rsidR="00683800" w:rsidRP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 xml:space="preserve">“Third Party Vendor” means a subscriber of MIAX </w:t>
      </w:r>
      <w:r w:rsidR="00D27780">
        <w:rPr>
          <w:rFonts w:cstheme="minorHAnsi"/>
          <w:color w:val="414041" w:themeColor="text1"/>
          <w:sz w:val="22"/>
          <w:szCs w:val="22"/>
        </w:rPr>
        <w:t>Pearl</w:t>
      </w:r>
      <w:r w:rsidRPr="00683800">
        <w:rPr>
          <w:rFonts w:cstheme="minorHAnsi"/>
          <w:color w:val="414041" w:themeColor="text1"/>
          <w:sz w:val="22"/>
          <w:szCs w:val="22"/>
        </w:rPr>
        <w:t xml:space="preserve"> Equities’ market and other data feeds, which they in turn use for redistribution purposes.</w:t>
      </w:r>
    </w:p>
    <w:p w14:paraId="24ECEC6D" w14:textId="77777777" w:rsidR="00683800" w:rsidRPr="00683800" w:rsidRDefault="00683800" w:rsidP="00683800">
      <w:pPr>
        <w:widowControl w:val="0"/>
        <w:jc w:val="both"/>
        <w:rPr>
          <w:rFonts w:cstheme="minorHAnsi"/>
          <w:color w:val="414041" w:themeColor="text1"/>
          <w:sz w:val="22"/>
          <w:szCs w:val="22"/>
        </w:rPr>
      </w:pPr>
    </w:p>
    <w:p w14:paraId="3036DE2D" w14:textId="75DCEFAC" w:rsidR="00683800" w:rsidRP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 xml:space="preserve">“Waiver Period” means, for each applicable fee, the period of time from the initial effective date of the MIAX </w:t>
      </w:r>
      <w:r w:rsidR="00D27780">
        <w:rPr>
          <w:rFonts w:cstheme="minorHAnsi"/>
          <w:color w:val="414041" w:themeColor="text1"/>
          <w:sz w:val="22"/>
          <w:szCs w:val="22"/>
        </w:rPr>
        <w:t>Pearl</w:t>
      </w:r>
      <w:r w:rsidRPr="00683800">
        <w:rPr>
          <w:rFonts w:cstheme="minorHAnsi"/>
          <w:color w:val="414041" w:themeColor="text1"/>
          <w:sz w:val="22"/>
          <w:szCs w:val="22"/>
        </w:rPr>
        <w:t xml:space="preserve"> Equities Fee Schedule until such time that MIAX </w:t>
      </w:r>
      <w:r w:rsidR="00D27780">
        <w:rPr>
          <w:rFonts w:cstheme="minorHAnsi"/>
          <w:color w:val="414041" w:themeColor="text1"/>
          <w:sz w:val="22"/>
          <w:szCs w:val="22"/>
        </w:rPr>
        <w:t>Pearl</w:t>
      </w:r>
      <w:r w:rsidRPr="00683800">
        <w:rPr>
          <w:rFonts w:cstheme="minorHAnsi"/>
          <w:color w:val="414041" w:themeColor="text1"/>
          <w:sz w:val="22"/>
          <w:szCs w:val="22"/>
        </w:rPr>
        <w:t xml:space="preserve"> has an effective fee filing establishing the applicable fee. MIAX </w:t>
      </w:r>
      <w:r w:rsidR="00D27780">
        <w:rPr>
          <w:rFonts w:cstheme="minorHAnsi"/>
          <w:color w:val="414041" w:themeColor="text1"/>
          <w:sz w:val="22"/>
          <w:szCs w:val="22"/>
        </w:rPr>
        <w:t>Pearl</w:t>
      </w:r>
      <w:r w:rsidRPr="00683800">
        <w:rPr>
          <w:rFonts w:cstheme="minorHAnsi"/>
          <w:color w:val="414041" w:themeColor="text1"/>
          <w:sz w:val="22"/>
          <w:szCs w:val="22"/>
        </w:rPr>
        <w:t xml:space="preserve"> Equities will issue a Regulatory Circular announcing the establishment of an applicable fee that was subject to a Waiver Period at least fifteen (15) days prior to the termination of the Waiver Period and effective date of any such applicable fee.</w:t>
      </w:r>
    </w:p>
    <w:p w14:paraId="7D378A02" w14:textId="02A1FB5C" w:rsidR="00092689" w:rsidRDefault="00092689" w:rsidP="00092689">
      <w:pPr>
        <w:pStyle w:val="BODYMIAX"/>
      </w:pPr>
    </w:p>
    <w:p w14:paraId="72F1078A" w14:textId="225A4B28" w:rsidR="00942ADB" w:rsidRDefault="00942ADB" w:rsidP="00092689">
      <w:pPr>
        <w:pStyle w:val="BODYMIAX"/>
      </w:pPr>
    </w:p>
    <w:p w14:paraId="28AAFF0A" w14:textId="1BC73B43" w:rsidR="006E1BB0" w:rsidRDefault="006E1BB0">
      <w:pPr>
        <w:rPr>
          <w:color w:val="414041" w:themeColor="text1"/>
          <w:sz w:val="20"/>
          <w:szCs w:val="20"/>
        </w:rPr>
      </w:pPr>
      <w:r>
        <w:br w:type="page"/>
      </w:r>
    </w:p>
    <w:p w14:paraId="037D4735" w14:textId="470B60E7" w:rsidR="00287307" w:rsidRDefault="00287307" w:rsidP="006E1BB0">
      <w:pPr>
        <w:pStyle w:val="Heading1"/>
      </w:pPr>
      <w:bookmarkStart w:id="2" w:name="_Toc110949404"/>
      <w:r>
        <w:lastRenderedPageBreak/>
        <w:t>General Notes</w:t>
      </w:r>
      <w:bookmarkEnd w:id="2"/>
    </w:p>
    <w:p w14:paraId="1A9156DC" w14:textId="5035233E" w:rsidR="00287307" w:rsidRPr="00683800" w:rsidRDefault="00287307" w:rsidP="00287307">
      <w:pPr>
        <w:pStyle w:val="BODYMIAX"/>
        <w:rPr>
          <w:sz w:val="22"/>
          <w:szCs w:val="22"/>
        </w:rPr>
      </w:pPr>
    </w:p>
    <w:p w14:paraId="467F6707" w14:textId="77777777" w:rsidR="00683800" w:rsidRPr="00683800" w:rsidRDefault="00683800" w:rsidP="00683800">
      <w:pPr>
        <w:widowControl w:val="0"/>
        <w:jc w:val="both"/>
        <w:rPr>
          <w:rFonts w:cstheme="minorHAnsi"/>
          <w:color w:val="414041" w:themeColor="text1"/>
          <w:sz w:val="22"/>
          <w:szCs w:val="22"/>
        </w:rPr>
      </w:pPr>
      <w:r w:rsidRPr="00683800">
        <w:rPr>
          <w:rFonts w:cstheme="minorHAnsi"/>
          <w:color w:val="414041" w:themeColor="text1"/>
          <w:sz w:val="22"/>
          <w:szCs w:val="22"/>
        </w:rPr>
        <w:t>Rebates are indicated by parentheses ().</w:t>
      </w:r>
    </w:p>
    <w:p w14:paraId="20A05EDF" w14:textId="77777777" w:rsidR="00683800" w:rsidRPr="00683800" w:rsidRDefault="00683800" w:rsidP="00683800">
      <w:pPr>
        <w:widowControl w:val="0"/>
        <w:jc w:val="both"/>
        <w:rPr>
          <w:rFonts w:cstheme="minorHAnsi"/>
          <w:color w:val="414041" w:themeColor="text1"/>
          <w:sz w:val="22"/>
          <w:szCs w:val="22"/>
          <w:shd w:val="clear" w:color="auto" w:fill="FFFFFF"/>
        </w:rPr>
      </w:pPr>
    </w:p>
    <w:p w14:paraId="436456FF" w14:textId="77777777" w:rsidR="00683800" w:rsidRPr="00683800" w:rsidRDefault="00683800" w:rsidP="00683800">
      <w:pPr>
        <w:widowControl w:val="0"/>
        <w:jc w:val="both"/>
        <w:rPr>
          <w:rFonts w:cstheme="minorHAnsi"/>
          <w:color w:val="414041" w:themeColor="text1"/>
          <w:sz w:val="22"/>
          <w:szCs w:val="22"/>
          <w:shd w:val="clear" w:color="auto" w:fill="FFFFFF"/>
        </w:rPr>
      </w:pPr>
      <w:r w:rsidRPr="00683800">
        <w:rPr>
          <w:rFonts w:cstheme="minorHAnsi"/>
          <w:color w:val="414041" w:themeColor="text1"/>
          <w:sz w:val="22"/>
          <w:szCs w:val="22"/>
          <w:shd w:val="clear" w:color="auto" w:fill="FFFFFF"/>
        </w:rPr>
        <w:t>All references to “per share” mean “per share executed.”</w:t>
      </w:r>
    </w:p>
    <w:p w14:paraId="7B6A4123" w14:textId="77777777" w:rsidR="00683800" w:rsidRPr="00683800" w:rsidRDefault="00683800" w:rsidP="00683800">
      <w:pPr>
        <w:widowControl w:val="0"/>
        <w:jc w:val="both"/>
        <w:rPr>
          <w:rFonts w:cstheme="minorHAnsi"/>
          <w:color w:val="414041" w:themeColor="text1"/>
          <w:sz w:val="22"/>
          <w:szCs w:val="22"/>
          <w:shd w:val="clear" w:color="auto" w:fill="FFFFFF"/>
        </w:rPr>
      </w:pPr>
    </w:p>
    <w:p w14:paraId="3651C703" w14:textId="77777777" w:rsidR="00683800" w:rsidRPr="00683800" w:rsidRDefault="00683800" w:rsidP="00683800">
      <w:pPr>
        <w:widowControl w:val="0"/>
        <w:jc w:val="both"/>
        <w:rPr>
          <w:rFonts w:cstheme="minorHAnsi"/>
          <w:color w:val="414041" w:themeColor="text1"/>
          <w:sz w:val="22"/>
          <w:szCs w:val="22"/>
          <w:shd w:val="clear" w:color="auto" w:fill="FFFFFF"/>
        </w:rPr>
      </w:pPr>
      <w:r w:rsidRPr="00683800">
        <w:rPr>
          <w:rFonts w:cstheme="minorHAnsi"/>
          <w:color w:val="414041" w:themeColor="text1"/>
          <w:sz w:val="22"/>
          <w:szCs w:val="22"/>
          <w:shd w:val="clear" w:color="auto" w:fill="FFFFFF"/>
        </w:rPr>
        <w:t>Unless otherwise indicated, rebates and charges for adding, removing or routing liquidity are listed as per share rebates and charges.</w:t>
      </w:r>
    </w:p>
    <w:p w14:paraId="7A4C9C1F" w14:textId="77777777" w:rsidR="00683800" w:rsidRPr="00683800" w:rsidRDefault="00683800" w:rsidP="00683800">
      <w:pPr>
        <w:widowControl w:val="0"/>
        <w:jc w:val="both"/>
        <w:rPr>
          <w:rFonts w:cstheme="minorHAnsi"/>
          <w:color w:val="414041" w:themeColor="text1"/>
          <w:sz w:val="22"/>
          <w:szCs w:val="22"/>
          <w:shd w:val="clear" w:color="auto" w:fill="FFFFFF"/>
        </w:rPr>
      </w:pPr>
    </w:p>
    <w:p w14:paraId="2195DFDC" w14:textId="1E7022F4" w:rsidR="00287307" w:rsidRPr="00683800" w:rsidRDefault="00683800" w:rsidP="00683800">
      <w:pPr>
        <w:pStyle w:val="BODYMIAX"/>
        <w:rPr>
          <w:sz w:val="22"/>
          <w:szCs w:val="22"/>
        </w:rPr>
      </w:pPr>
      <w:r w:rsidRPr="00683800">
        <w:rPr>
          <w:rFonts w:cstheme="minorHAnsi"/>
          <w:sz w:val="22"/>
          <w:szCs w:val="22"/>
        </w:rPr>
        <w:t>Web CRD fees set forth in Section 2</w:t>
      </w:r>
      <w:proofErr w:type="gramStart"/>
      <w:r w:rsidRPr="00683800">
        <w:rPr>
          <w:rFonts w:cstheme="minorHAnsi"/>
          <w:sz w:val="22"/>
          <w:szCs w:val="22"/>
        </w:rPr>
        <w:t>)c</w:t>
      </w:r>
      <w:proofErr w:type="gramEnd"/>
      <w:r w:rsidRPr="00683800">
        <w:rPr>
          <w:rFonts w:cstheme="minorHAnsi"/>
          <w:sz w:val="22"/>
          <w:szCs w:val="22"/>
        </w:rPr>
        <w:t xml:space="preserve">) of the MIAX </w:t>
      </w:r>
      <w:r w:rsidR="00D27780">
        <w:rPr>
          <w:rFonts w:cstheme="minorHAnsi"/>
          <w:sz w:val="22"/>
          <w:szCs w:val="22"/>
        </w:rPr>
        <w:t>Pearl</w:t>
      </w:r>
      <w:r w:rsidRPr="00683800">
        <w:rPr>
          <w:rFonts w:cstheme="minorHAnsi"/>
          <w:sz w:val="22"/>
          <w:szCs w:val="22"/>
        </w:rPr>
        <w:t xml:space="preserve"> Options Fee Schedule will be assessed on MIAX </w:t>
      </w:r>
      <w:r w:rsidR="00D27780">
        <w:rPr>
          <w:rFonts w:cstheme="minorHAnsi"/>
          <w:sz w:val="22"/>
          <w:szCs w:val="22"/>
        </w:rPr>
        <w:t>Pearl</w:t>
      </w:r>
      <w:r w:rsidRPr="00683800">
        <w:rPr>
          <w:rFonts w:cstheme="minorHAnsi"/>
          <w:sz w:val="22"/>
          <w:szCs w:val="22"/>
        </w:rPr>
        <w:t xml:space="preserve"> Equity Members (as applicable) and collected by FINRA.</w:t>
      </w:r>
    </w:p>
    <w:p w14:paraId="182DB782" w14:textId="2CE5BFF5" w:rsidR="00287307" w:rsidRDefault="00287307" w:rsidP="00287307">
      <w:pPr>
        <w:pStyle w:val="BODYMIAX"/>
      </w:pPr>
    </w:p>
    <w:p w14:paraId="600AEABD" w14:textId="77777777" w:rsidR="002D3D22" w:rsidRPr="002D3D22" w:rsidRDefault="002D3D22" w:rsidP="002D3D22">
      <w:pPr>
        <w:widowControl w:val="0"/>
        <w:rPr>
          <w:rFonts w:cstheme="minorHAnsi"/>
          <w:color w:val="414041" w:themeColor="text1"/>
          <w:sz w:val="22"/>
          <w:szCs w:val="22"/>
        </w:rPr>
      </w:pPr>
      <w:r w:rsidRPr="002D3D22">
        <w:rPr>
          <w:rFonts w:cstheme="minorHAnsi"/>
          <w:color w:val="414041" w:themeColor="text1"/>
          <w:sz w:val="22"/>
          <w:szCs w:val="22"/>
        </w:rPr>
        <w:t>The Exchange notes that to the extent a Pearl Equity Member does not qualify for any of the tiers contained herein, the rates listed in the “Liquidity Indicator Codes and Associated Fees” table shall apply.</w:t>
      </w:r>
    </w:p>
    <w:p w14:paraId="1DDC4162" w14:textId="77777777" w:rsidR="002D3D22" w:rsidRPr="002D3D22" w:rsidRDefault="002D3D22" w:rsidP="002D3D22">
      <w:pPr>
        <w:widowControl w:val="0"/>
        <w:rPr>
          <w:rFonts w:cstheme="minorHAnsi"/>
          <w:color w:val="414041" w:themeColor="text1"/>
          <w:sz w:val="22"/>
          <w:szCs w:val="22"/>
        </w:rPr>
      </w:pPr>
    </w:p>
    <w:p w14:paraId="25C51595" w14:textId="77777777" w:rsidR="002D3D22" w:rsidRPr="002D3D22" w:rsidRDefault="002D3D22" w:rsidP="002D3D22">
      <w:pPr>
        <w:widowControl w:val="0"/>
        <w:rPr>
          <w:rFonts w:cstheme="minorHAnsi"/>
          <w:color w:val="414041" w:themeColor="text1"/>
          <w:sz w:val="22"/>
          <w:szCs w:val="22"/>
        </w:rPr>
      </w:pPr>
      <w:r w:rsidRPr="002D3D22">
        <w:rPr>
          <w:rFonts w:cstheme="minorHAnsi"/>
          <w:color w:val="414041" w:themeColor="text1"/>
          <w:sz w:val="22"/>
          <w:szCs w:val="22"/>
        </w:rPr>
        <w:t>To the extent a Pearl Equity Member qualifies for higher rebates and/or lower fees than those provided by a tier for which such Member qualifies, the higher rebates and/or lower fees shall apply.</w:t>
      </w:r>
    </w:p>
    <w:p w14:paraId="2EEBC75A" w14:textId="77777777" w:rsidR="008F7EA2" w:rsidRDefault="008F7EA2"/>
    <w:p w14:paraId="572ED171" w14:textId="77777777" w:rsidR="008F7EA2" w:rsidRPr="008F7EA2" w:rsidRDefault="008F7EA2" w:rsidP="008F7EA2">
      <w:pPr>
        <w:pStyle w:val="BODYMIAX"/>
        <w:jc w:val="both"/>
        <w:rPr>
          <w:rFonts w:cstheme="minorHAnsi"/>
          <w:sz w:val="22"/>
          <w:szCs w:val="22"/>
        </w:rPr>
      </w:pPr>
      <w:r w:rsidRPr="008F7EA2">
        <w:rPr>
          <w:rFonts w:cstheme="minorHAnsi"/>
          <w:sz w:val="22"/>
          <w:szCs w:val="22"/>
        </w:rPr>
        <w:t>For the purpose of determining qualification for the Market Quality Tiers the Exchange will exclude from its calculation: (1) any trading day that the Exchange’s system experiences a disruption that lasts for more than 60 minutes during regular trading hours; (2) any day with a scheduled early market close; and (3) the “Russell Reconstitution Day” (typically the last Friday in June).</w:t>
      </w:r>
    </w:p>
    <w:p w14:paraId="0501E9A8" w14:textId="61CA74B2" w:rsidR="00287307" w:rsidRPr="008F7EA2" w:rsidRDefault="00287307" w:rsidP="008F7EA2">
      <w:pPr>
        <w:jc w:val="both"/>
        <w:rPr>
          <w:rFonts w:cstheme="minorHAnsi"/>
          <w:color w:val="414041" w:themeColor="text1"/>
          <w:sz w:val="22"/>
          <w:szCs w:val="22"/>
        </w:rPr>
      </w:pPr>
      <w:r w:rsidRPr="008F7EA2">
        <w:rPr>
          <w:rFonts w:cstheme="minorHAnsi"/>
          <w:color w:val="414041" w:themeColor="text1"/>
          <w:sz w:val="22"/>
          <w:szCs w:val="22"/>
        </w:rPr>
        <w:br w:type="page"/>
      </w:r>
    </w:p>
    <w:p w14:paraId="45393429" w14:textId="6C152D71" w:rsidR="006E1BB0" w:rsidRDefault="006E1BB0" w:rsidP="006E1BB0">
      <w:pPr>
        <w:pStyle w:val="Heading1"/>
      </w:pPr>
      <w:bookmarkStart w:id="3" w:name="_Toc110949405"/>
      <w:r>
        <w:lastRenderedPageBreak/>
        <w:t>1</w:t>
      </w:r>
      <w:r w:rsidR="00A54023">
        <w:t>)</w:t>
      </w:r>
      <w:r>
        <w:t xml:space="preserve"> Transaction </w:t>
      </w:r>
      <w:r w:rsidR="00942ADB">
        <w:t>Rebates/</w:t>
      </w:r>
      <w:r>
        <w:t>Fees</w:t>
      </w:r>
      <w:bookmarkEnd w:id="3"/>
    </w:p>
    <w:p w14:paraId="1DBF1677" w14:textId="6D050E91" w:rsidR="006E1BB0" w:rsidRDefault="006E1BB0" w:rsidP="00092689">
      <w:pPr>
        <w:pStyle w:val="BODYMIAX"/>
      </w:pPr>
    </w:p>
    <w:p w14:paraId="1B02CE60" w14:textId="6F13053D" w:rsidR="00A90ED0" w:rsidRPr="008133AE" w:rsidRDefault="006E1BB0" w:rsidP="00F81425">
      <w:pPr>
        <w:pStyle w:val="Heading2"/>
        <w:ind w:left="360"/>
      </w:pPr>
      <w:bookmarkStart w:id="4" w:name="_Toc110949406"/>
      <w:r w:rsidRPr="008133AE">
        <w:t xml:space="preserve">a) </w:t>
      </w:r>
      <w:r w:rsidR="00287307" w:rsidRPr="008133AE">
        <w:t>Standard Rates</w:t>
      </w:r>
      <w:bookmarkEnd w:id="4"/>
      <w:r w:rsidR="00CF3DA6" w:rsidRPr="008133AE">
        <w:t xml:space="preserve"> </w:t>
      </w:r>
    </w:p>
    <w:p w14:paraId="47BCE57A" w14:textId="77777777" w:rsidR="00F81425" w:rsidRPr="00AF386E" w:rsidRDefault="00F81425" w:rsidP="00F81425">
      <w:pPr>
        <w:rPr>
          <w:i/>
        </w:rPr>
      </w:pPr>
    </w:p>
    <w:tbl>
      <w:tblPr>
        <w:tblStyle w:val="TableGrid"/>
        <w:tblW w:w="0" w:type="auto"/>
        <w:tblBorders>
          <w:top w:val="single" w:sz="4" w:space="0" w:color="A6A6A6" w:themeColor="accent2"/>
          <w:left w:val="single" w:sz="4" w:space="0" w:color="A6A6A6" w:themeColor="accent2"/>
          <w:bottom w:val="single" w:sz="4" w:space="0" w:color="A6A6A6" w:themeColor="accent2"/>
          <w:right w:val="single" w:sz="4" w:space="0" w:color="A6A6A6" w:themeColor="accent2"/>
          <w:insideH w:val="single" w:sz="4" w:space="0" w:color="A6A6A6" w:themeColor="accent2"/>
          <w:insideV w:val="single" w:sz="4" w:space="0" w:color="A6A6A6" w:themeColor="accent2"/>
        </w:tblBorders>
        <w:tblLayout w:type="fixed"/>
        <w:tblLook w:val="04A0" w:firstRow="1" w:lastRow="0" w:firstColumn="1" w:lastColumn="0" w:noHBand="0" w:noVBand="1"/>
      </w:tblPr>
      <w:tblGrid>
        <w:gridCol w:w="1736"/>
        <w:gridCol w:w="1736"/>
        <w:gridCol w:w="1736"/>
        <w:gridCol w:w="1736"/>
        <w:gridCol w:w="1736"/>
        <w:gridCol w:w="1736"/>
      </w:tblGrid>
      <w:tr w:rsidR="00287307" w:rsidRPr="008133AE" w14:paraId="1F7B7F22" w14:textId="77777777" w:rsidTr="008B0607">
        <w:tc>
          <w:tcPr>
            <w:tcW w:w="1736" w:type="dxa"/>
            <w:shd w:val="clear" w:color="auto" w:fill="414041" w:themeFill="text1"/>
            <w:vAlign w:val="bottom"/>
          </w:tcPr>
          <w:p w14:paraId="1D3AD641" w14:textId="2F899F58" w:rsidR="00287307" w:rsidRPr="003C376C" w:rsidRDefault="00287307" w:rsidP="007A63F9">
            <w:pPr>
              <w:jc w:val="center"/>
              <w:rPr>
                <w:b/>
                <w:bCs/>
                <w:color w:val="FFFFFF" w:themeColor="background1"/>
                <w:sz w:val="20"/>
                <w:szCs w:val="20"/>
              </w:rPr>
            </w:pPr>
            <w:bookmarkStart w:id="5" w:name="_Toc29148602"/>
            <w:r w:rsidRPr="003C376C">
              <w:rPr>
                <w:b/>
                <w:bCs/>
                <w:color w:val="FFFFFF" w:themeColor="background1"/>
                <w:sz w:val="20"/>
                <w:szCs w:val="20"/>
              </w:rPr>
              <w:t>Category</w:t>
            </w:r>
          </w:p>
        </w:tc>
        <w:tc>
          <w:tcPr>
            <w:tcW w:w="1736" w:type="dxa"/>
            <w:shd w:val="clear" w:color="auto" w:fill="414041" w:themeFill="text1"/>
            <w:vAlign w:val="bottom"/>
          </w:tcPr>
          <w:p w14:paraId="753A475D" w14:textId="65CB41F1" w:rsidR="00287307" w:rsidRPr="003C376C" w:rsidRDefault="00287307" w:rsidP="007A63F9">
            <w:pPr>
              <w:jc w:val="center"/>
              <w:rPr>
                <w:b/>
                <w:bCs/>
                <w:color w:val="FFFFFF" w:themeColor="background1"/>
                <w:sz w:val="20"/>
                <w:szCs w:val="20"/>
              </w:rPr>
            </w:pPr>
            <w:r w:rsidRPr="003C376C">
              <w:rPr>
                <w:b/>
                <w:bCs/>
                <w:color w:val="FFFFFF" w:themeColor="background1"/>
                <w:sz w:val="20"/>
                <w:szCs w:val="20"/>
              </w:rPr>
              <w:t>Adding Liquidity Displayed Order</w:t>
            </w:r>
          </w:p>
        </w:tc>
        <w:tc>
          <w:tcPr>
            <w:tcW w:w="1736" w:type="dxa"/>
            <w:shd w:val="clear" w:color="auto" w:fill="414041" w:themeFill="text1"/>
            <w:vAlign w:val="bottom"/>
          </w:tcPr>
          <w:p w14:paraId="57D0AD20" w14:textId="4F71124A" w:rsidR="00287307" w:rsidRPr="003C376C" w:rsidRDefault="00287307" w:rsidP="007A63F9">
            <w:pPr>
              <w:jc w:val="center"/>
              <w:rPr>
                <w:b/>
                <w:bCs/>
                <w:color w:val="FFFFFF" w:themeColor="background1"/>
                <w:sz w:val="20"/>
                <w:szCs w:val="20"/>
              </w:rPr>
            </w:pPr>
            <w:r w:rsidRPr="003C376C">
              <w:rPr>
                <w:b/>
                <w:bCs/>
                <w:color w:val="FFFFFF" w:themeColor="background1"/>
                <w:sz w:val="20"/>
                <w:szCs w:val="20"/>
              </w:rPr>
              <w:t>Adding Liquidity Non-Displayed Order</w:t>
            </w:r>
          </w:p>
        </w:tc>
        <w:tc>
          <w:tcPr>
            <w:tcW w:w="1736" w:type="dxa"/>
            <w:shd w:val="clear" w:color="auto" w:fill="414041" w:themeFill="text1"/>
            <w:vAlign w:val="bottom"/>
          </w:tcPr>
          <w:p w14:paraId="7B8E85A7" w14:textId="2B2A0CCD" w:rsidR="00287307" w:rsidRPr="003C376C" w:rsidRDefault="00287307" w:rsidP="007A63F9">
            <w:pPr>
              <w:jc w:val="center"/>
              <w:rPr>
                <w:b/>
                <w:bCs/>
                <w:color w:val="FFFFFF" w:themeColor="background1"/>
                <w:sz w:val="20"/>
                <w:szCs w:val="20"/>
              </w:rPr>
            </w:pPr>
            <w:r w:rsidRPr="003C376C">
              <w:rPr>
                <w:b/>
                <w:bCs/>
                <w:color w:val="FFFFFF" w:themeColor="background1"/>
                <w:sz w:val="20"/>
                <w:szCs w:val="20"/>
              </w:rPr>
              <w:t>Removing Liquidity</w:t>
            </w:r>
          </w:p>
        </w:tc>
        <w:tc>
          <w:tcPr>
            <w:tcW w:w="1736" w:type="dxa"/>
            <w:shd w:val="clear" w:color="auto" w:fill="414041" w:themeFill="text1"/>
            <w:vAlign w:val="bottom"/>
          </w:tcPr>
          <w:p w14:paraId="25AA607D" w14:textId="2D69C69B" w:rsidR="00287307" w:rsidRPr="003C376C" w:rsidRDefault="00287307" w:rsidP="007A63F9">
            <w:pPr>
              <w:jc w:val="center"/>
              <w:rPr>
                <w:b/>
                <w:bCs/>
                <w:color w:val="FFFFFF" w:themeColor="background1"/>
                <w:sz w:val="20"/>
                <w:szCs w:val="20"/>
              </w:rPr>
            </w:pPr>
            <w:r w:rsidRPr="003C376C">
              <w:rPr>
                <w:b/>
                <w:bCs/>
                <w:color w:val="FFFFFF" w:themeColor="background1"/>
                <w:sz w:val="20"/>
                <w:szCs w:val="20"/>
              </w:rPr>
              <w:t>Routing and Removing Liquidity</w:t>
            </w:r>
          </w:p>
        </w:tc>
        <w:tc>
          <w:tcPr>
            <w:tcW w:w="1736" w:type="dxa"/>
            <w:shd w:val="clear" w:color="auto" w:fill="414041" w:themeFill="text1"/>
            <w:vAlign w:val="bottom"/>
          </w:tcPr>
          <w:p w14:paraId="144468F7" w14:textId="78DA7F67" w:rsidR="00287307" w:rsidRPr="003C376C" w:rsidRDefault="00287307" w:rsidP="007A63F9">
            <w:pPr>
              <w:jc w:val="center"/>
              <w:rPr>
                <w:b/>
                <w:bCs/>
                <w:color w:val="FFFFFF" w:themeColor="background1"/>
                <w:sz w:val="20"/>
                <w:szCs w:val="20"/>
              </w:rPr>
            </w:pPr>
            <w:r w:rsidRPr="003C376C">
              <w:rPr>
                <w:b/>
                <w:bCs/>
                <w:color w:val="FFFFFF" w:themeColor="background1"/>
                <w:sz w:val="20"/>
                <w:szCs w:val="20"/>
              </w:rPr>
              <w:t>Opening or Re-Opening Process</w:t>
            </w:r>
          </w:p>
        </w:tc>
      </w:tr>
      <w:tr w:rsidR="007A63F9" w:rsidRPr="008133AE" w14:paraId="57C62AB3" w14:textId="77777777" w:rsidTr="008B0607">
        <w:tc>
          <w:tcPr>
            <w:tcW w:w="1736" w:type="dxa"/>
            <w:vAlign w:val="bottom"/>
          </w:tcPr>
          <w:p w14:paraId="5FC9060E" w14:textId="20BF6E0E" w:rsidR="007A63F9" w:rsidRPr="003C376C" w:rsidRDefault="007A63F9" w:rsidP="007A63F9">
            <w:pPr>
              <w:jc w:val="center"/>
              <w:rPr>
                <w:rFonts w:cs="Arial"/>
                <w:color w:val="3C4038" w:themeColor="text2" w:themeShade="40"/>
                <w:sz w:val="20"/>
                <w:szCs w:val="20"/>
              </w:rPr>
            </w:pPr>
            <w:r w:rsidRPr="003C376C">
              <w:rPr>
                <w:rFonts w:cs="Arial"/>
                <w:color w:val="3C4038" w:themeColor="text2" w:themeShade="40"/>
                <w:sz w:val="20"/>
                <w:szCs w:val="20"/>
              </w:rPr>
              <w:t>Securities at or above $1.00</w:t>
            </w:r>
          </w:p>
        </w:tc>
        <w:tc>
          <w:tcPr>
            <w:tcW w:w="1736" w:type="dxa"/>
            <w:vAlign w:val="bottom"/>
          </w:tcPr>
          <w:p w14:paraId="6AEDDDAF" w14:textId="648D5FFE" w:rsidR="007A63F9" w:rsidRPr="003C376C" w:rsidRDefault="00B01B31" w:rsidP="003C376C">
            <w:pPr>
              <w:jc w:val="center"/>
              <w:rPr>
                <w:rFonts w:cs="Arial"/>
                <w:color w:val="3C4038" w:themeColor="text2" w:themeShade="40"/>
                <w:sz w:val="20"/>
                <w:szCs w:val="20"/>
              </w:rPr>
            </w:pPr>
            <w:r>
              <w:rPr>
                <w:rFonts w:cs="Arial"/>
                <w:color w:val="3C4038" w:themeColor="text2" w:themeShade="40"/>
                <w:sz w:val="20"/>
                <w:szCs w:val="20"/>
              </w:rPr>
              <w:t xml:space="preserve">Tapes A, B, </w:t>
            </w:r>
            <w:r w:rsidR="007A63F9" w:rsidRPr="003C376C">
              <w:rPr>
                <w:rFonts w:cs="Arial"/>
                <w:color w:val="3C4038" w:themeColor="text2" w:themeShade="40"/>
                <w:sz w:val="20"/>
                <w:szCs w:val="20"/>
              </w:rPr>
              <w:t>and C</w:t>
            </w:r>
          </w:p>
          <w:p w14:paraId="3DFA2499" w14:textId="1360842E" w:rsidR="007A63F9" w:rsidRPr="003C376C" w:rsidRDefault="00B01B31" w:rsidP="003C376C">
            <w:pPr>
              <w:jc w:val="center"/>
              <w:rPr>
                <w:rFonts w:cs="Arial"/>
                <w:color w:val="3C4038" w:themeColor="text2" w:themeShade="40"/>
                <w:sz w:val="20"/>
                <w:szCs w:val="20"/>
              </w:rPr>
            </w:pPr>
            <w:r w:rsidRPr="003C376C">
              <w:rPr>
                <w:rFonts w:cs="Arial"/>
                <w:color w:val="3C4038" w:themeColor="text2" w:themeShade="40"/>
                <w:sz w:val="20"/>
                <w:szCs w:val="20"/>
              </w:rPr>
              <w:t xml:space="preserve"> </w:t>
            </w:r>
            <w:r w:rsidR="007A63F9" w:rsidRPr="003C376C">
              <w:rPr>
                <w:rFonts w:cs="Arial"/>
                <w:color w:val="3C4038" w:themeColor="text2" w:themeShade="40"/>
                <w:sz w:val="20"/>
                <w:szCs w:val="20"/>
              </w:rPr>
              <w:t>(</w:t>
            </w:r>
            <w:r>
              <w:rPr>
                <w:rFonts w:cs="Arial"/>
                <w:color w:val="3C4038" w:themeColor="text2" w:themeShade="40"/>
                <w:sz w:val="20"/>
                <w:szCs w:val="20"/>
              </w:rPr>
              <w:t>$0.0029</w:t>
            </w:r>
            <w:r w:rsidR="007A63F9" w:rsidRPr="003C376C">
              <w:rPr>
                <w:rFonts w:cs="Arial"/>
                <w:color w:val="3C4038" w:themeColor="text2" w:themeShade="40"/>
                <w:sz w:val="20"/>
                <w:szCs w:val="20"/>
              </w:rPr>
              <w:t>)</w:t>
            </w:r>
          </w:p>
        </w:tc>
        <w:tc>
          <w:tcPr>
            <w:tcW w:w="1736" w:type="dxa"/>
            <w:vAlign w:val="bottom"/>
          </w:tcPr>
          <w:p w14:paraId="405ACF6F" w14:textId="71B8362F" w:rsidR="007A63F9" w:rsidRPr="003C376C" w:rsidRDefault="00B01B31" w:rsidP="003C376C">
            <w:pPr>
              <w:jc w:val="center"/>
              <w:rPr>
                <w:rFonts w:cs="Arial"/>
                <w:color w:val="3C4038" w:themeColor="text2" w:themeShade="40"/>
                <w:sz w:val="20"/>
                <w:szCs w:val="20"/>
              </w:rPr>
            </w:pPr>
            <w:r>
              <w:rPr>
                <w:rFonts w:cs="Arial"/>
                <w:color w:val="3C4038" w:themeColor="text2" w:themeShade="40"/>
                <w:sz w:val="20"/>
                <w:szCs w:val="20"/>
              </w:rPr>
              <w:t>($0.0021</w:t>
            </w:r>
            <w:r w:rsidR="007A63F9" w:rsidRPr="003C376C">
              <w:rPr>
                <w:rFonts w:cs="Arial"/>
                <w:color w:val="3C4038" w:themeColor="text2" w:themeShade="40"/>
                <w:sz w:val="20"/>
                <w:szCs w:val="20"/>
              </w:rPr>
              <w:t>)</w:t>
            </w:r>
          </w:p>
        </w:tc>
        <w:tc>
          <w:tcPr>
            <w:tcW w:w="1736" w:type="dxa"/>
            <w:vAlign w:val="bottom"/>
          </w:tcPr>
          <w:p w14:paraId="76D4A498" w14:textId="3F04725C" w:rsidR="007A63F9" w:rsidRPr="003C376C" w:rsidRDefault="007A63F9" w:rsidP="003C376C">
            <w:pPr>
              <w:jc w:val="center"/>
              <w:rPr>
                <w:rFonts w:cs="Arial"/>
                <w:color w:val="3C4038" w:themeColor="text2" w:themeShade="40"/>
                <w:sz w:val="20"/>
                <w:szCs w:val="20"/>
              </w:rPr>
            </w:pPr>
            <w:r w:rsidRPr="003C376C">
              <w:rPr>
                <w:rFonts w:cs="Arial"/>
                <w:color w:val="3C4038" w:themeColor="text2" w:themeShade="40"/>
                <w:sz w:val="20"/>
                <w:szCs w:val="20"/>
              </w:rPr>
              <w:t>$0.002</w:t>
            </w:r>
            <w:r w:rsidR="00B01B31">
              <w:rPr>
                <w:rFonts w:cs="Arial"/>
                <w:color w:val="3C4038" w:themeColor="text2" w:themeShade="40"/>
                <w:sz w:val="20"/>
                <w:szCs w:val="20"/>
              </w:rPr>
              <w:t>9</w:t>
            </w:r>
          </w:p>
        </w:tc>
        <w:tc>
          <w:tcPr>
            <w:tcW w:w="1736" w:type="dxa"/>
            <w:vAlign w:val="bottom"/>
          </w:tcPr>
          <w:p w14:paraId="56BB622A" w14:textId="235BD075" w:rsidR="007A63F9" w:rsidRPr="003C376C" w:rsidRDefault="007A63F9" w:rsidP="003C376C">
            <w:pPr>
              <w:jc w:val="center"/>
              <w:rPr>
                <w:rFonts w:cs="Arial"/>
                <w:color w:val="3C4038" w:themeColor="text2" w:themeShade="40"/>
                <w:sz w:val="20"/>
                <w:szCs w:val="20"/>
              </w:rPr>
            </w:pPr>
            <w:r w:rsidRPr="003C376C">
              <w:rPr>
                <w:rFonts w:cs="Arial"/>
                <w:color w:val="3C4038" w:themeColor="text2" w:themeShade="40"/>
                <w:sz w:val="20"/>
                <w:szCs w:val="20"/>
              </w:rPr>
              <w:t>$0.0030</w:t>
            </w:r>
          </w:p>
        </w:tc>
        <w:tc>
          <w:tcPr>
            <w:tcW w:w="1736" w:type="dxa"/>
            <w:vAlign w:val="bottom"/>
          </w:tcPr>
          <w:p w14:paraId="6DB1C457" w14:textId="1458E708" w:rsidR="007A63F9" w:rsidRPr="003C376C" w:rsidRDefault="007A63F9" w:rsidP="003C376C">
            <w:pPr>
              <w:jc w:val="center"/>
              <w:rPr>
                <w:rFonts w:cs="Arial"/>
                <w:color w:val="3C4038" w:themeColor="text2" w:themeShade="40"/>
                <w:sz w:val="20"/>
                <w:szCs w:val="20"/>
              </w:rPr>
            </w:pPr>
            <w:r w:rsidRPr="003C376C">
              <w:rPr>
                <w:rFonts w:cs="Arial"/>
                <w:color w:val="3C4038" w:themeColor="text2" w:themeShade="40"/>
                <w:sz w:val="20"/>
                <w:szCs w:val="20"/>
              </w:rPr>
              <w:t>$0.00</w:t>
            </w:r>
          </w:p>
        </w:tc>
      </w:tr>
      <w:tr w:rsidR="007A63F9" w:rsidRPr="008133AE" w14:paraId="07753134" w14:textId="77777777" w:rsidTr="008B0607">
        <w:tc>
          <w:tcPr>
            <w:tcW w:w="1736" w:type="dxa"/>
            <w:shd w:val="clear" w:color="auto" w:fill="F1F2F0" w:themeFill="text2"/>
            <w:vAlign w:val="bottom"/>
          </w:tcPr>
          <w:p w14:paraId="686100D9" w14:textId="31A3DF2C" w:rsidR="007A63F9" w:rsidRPr="003C376C" w:rsidRDefault="007A63F9" w:rsidP="007A63F9">
            <w:pPr>
              <w:jc w:val="center"/>
              <w:rPr>
                <w:rFonts w:cs="Arial"/>
                <w:color w:val="3C4038" w:themeColor="text2" w:themeShade="40"/>
                <w:sz w:val="20"/>
                <w:szCs w:val="20"/>
              </w:rPr>
            </w:pPr>
            <w:r w:rsidRPr="003C376C">
              <w:rPr>
                <w:rFonts w:cs="Arial"/>
                <w:color w:val="3C4038" w:themeColor="text2" w:themeShade="40"/>
                <w:sz w:val="20"/>
                <w:szCs w:val="20"/>
              </w:rPr>
              <w:t>Securities below $1.00</w:t>
            </w:r>
          </w:p>
        </w:tc>
        <w:tc>
          <w:tcPr>
            <w:tcW w:w="1736" w:type="dxa"/>
            <w:shd w:val="clear" w:color="auto" w:fill="F1F2F0" w:themeFill="text2"/>
            <w:vAlign w:val="bottom"/>
          </w:tcPr>
          <w:p w14:paraId="6C6A6D48" w14:textId="4764AAE1" w:rsidR="007A63F9" w:rsidRPr="003C376C" w:rsidRDefault="00C14F6A" w:rsidP="007A63F9">
            <w:pPr>
              <w:jc w:val="center"/>
              <w:rPr>
                <w:rFonts w:cs="Arial"/>
                <w:color w:val="3C4038" w:themeColor="text2" w:themeShade="40"/>
                <w:sz w:val="20"/>
                <w:szCs w:val="20"/>
              </w:rPr>
            </w:pPr>
            <w:r>
              <w:rPr>
                <w:rFonts w:cs="Arial"/>
                <w:color w:val="3C4038" w:themeColor="text2" w:themeShade="40"/>
                <w:sz w:val="20"/>
                <w:szCs w:val="20"/>
              </w:rPr>
              <w:t>(0.10</w:t>
            </w:r>
            <w:r w:rsidR="007A63F9" w:rsidRPr="003C376C">
              <w:rPr>
                <w:rFonts w:cs="Arial"/>
                <w:color w:val="3C4038" w:themeColor="text2" w:themeShade="40"/>
                <w:sz w:val="20"/>
                <w:szCs w:val="20"/>
              </w:rPr>
              <w:t>% of Dollar Value)</w:t>
            </w:r>
          </w:p>
        </w:tc>
        <w:tc>
          <w:tcPr>
            <w:tcW w:w="1736" w:type="dxa"/>
            <w:shd w:val="clear" w:color="auto" w:fill="F1F2F0" w:themeFill="text2"/>
            <w:vAlign w:val="bottom"/>
          </w:tcPr>
          <w:p w14:paraId="49EF44F0" w14:textId="47C47641" w:rsidR="007A63F9" w:rsidRPr="003C376C" w:rsidRDefault="00C14F6A" w:rsidP="007A63F9">
            <w:pPr>
              <w:jc w:val="center"/>
              <w:rPr>
                <w:rFonts w:cs="Arial"/>
                <w:color w:val="3C4038" w:themeColor="text2" w:themeShade="40"/>
                <w:sz w:val="20"/>
                <w:szCs w:val="20"/>
              </w:rPr>
            </w:pPr>
            <w:r>
              <w:rPr>
                <w:rFonts w:cs="Arial"/>
                <w:color w:val="3C4038" w:themeColor="text2" w:themeShade="40"/>
                <w:sz w:val="20"/>
                <w:szCs w:val="20"/>
              </w:rPr>
              <w:t>(0.10</w:t>
            </w:r>
            <w:r w:rsidR="007A63F9" w:rsidRPr="003C376C">
              <w:rPr>
                <w:rFonts w:cs="Arial"/>
                <w:color w:val="3C4038" w:themeColor="text2" w:themeShade="40"/>
                <w:sz w:val="20"/>
                <w:szCs w:val="20"/>
              </w:rPr>
              <w:t>% of Dollar Value)</w:t>
            </w:r>
          </w:p>
        </w:tc>
        <w:tc>
          <w:tcPr>
            <w:tcW w:w="1736" w:type="dxa"/>
            <w:shd w:val="clear" w:color="auto" w:fill="F1F2F0" w:themeFill="text2"/>
            <w:vAlign w:val="bottom"/>
          </w:tcPr>
          <w:p w14:paraId="7B3486AC" w14:textId="6E416A38" w:rsidR="007A63F9" w:rsidRPr="003C376C" w:rsidRDefault="001B4299" w:rsidP="007A63F9">
            <w:pPr>
              <w:jc w:val="center"/>
              <w:rPr>
                <w:rFonts w:cs="Arial"/>
                <w:color w:val="3C4038" w:themeColor="text2" w:themeShade="40"/>
                <w:sz w:val="20"/>
                <w:szCs w:val="20"/>
              </w:rPr>
            </w:pPr>
            <w:r>
              <w:rPr>
                <w:rFonts w:cs="Arial"/>
                <w:color w:val="3C4038" w:themeColor="text2" w:themeShade="40"/>
                <w:sz w:val="20"/>
                <w:szCs w:val="20"/>
              </w:rPr>
              <w:t>0.2</w:t>
            </w:r>
            <w:r w:rsidR="00C14F6A">
              <w:rPr>
                <w:rFonts w:cs="Arial"/>
                <w:color w:val="3C4038" w:themeColor="text2" w:themeShade="40"/>
                <w:sz w:val="20"/>
                <w:szCs w:val="20"/>
              </w:rPr>
              <w:t>0</w:t>
            </w:r>
            <w:r w:rsidR="007A63F9" w:rsidRPr="003C376C">
              <w:rPr>
                <w:rFonts w:cs="Arial"/>
                <w:color w:val="3C4038" w:themeColor="text2" w:themeShade="40"/>
                <w:sz w:val="20"/>
                <w:szCs w:val="20"/>
              </w:rPr>
              <w:t>% of Dollar Value</w:t>
            </w:r>
          </w:p>
        </w:tc>
        <w:tc>
          <w:tcPr>
            <w:tcW w:w="1736" w:type="dxa"/>
            <w:shd w:val="clear" w:color="auto" w:fill="F1F2F0" w:themeFill="text2"/>
            <w:vAlign w:val="bottom"/>
          </w:tcPr>
          <w:p w14:paraId="291F6C5F" w14:textId="612E5978" w:rsidR="007A63F9" w:rsidRPr="003C376C" w:rsidRDefault="007A63F9" w:rsidP="007A63F9">
            <w:pPr>
              <w:jc w:val="center"/>
              <w:rPr>
                <w:rFonts w:cs="Arial"/>
                <w:color w:val="3C4038" w:themeColor="text2" w:themeShade="40"/>
                <w:sz w:val="20"/>
                <w:szCs w:val="20"/>
              </w:rPr>
            </w:pPr>
            <w:r w:rsidRPr="003C376C">
              <w:rPr>
                <w:rFonts w:cs="Arial"/>
                <w:color w:val="3C4038" w:themeColor="text2" w:themeShade="40"/>
                <w:sz w:val="20"/>
                <w:szCs w:val="20"/>
              </w:rPr>
              <w:t>0.30% of Dollar Value</w:t>
            </w:r>
          </w:p>
        </w:tc>
        <w:tc>
          <w:tcPr>
            <w:tcW w:w="1736" w:type="dxa"/>
            <w:shd w:val="clear" w:color="auto" w:fill="F1F2F0" w:themeFill="text2"/>
            <w:vAlign w:val="bottom"/>
          </w:tcPr>
          <w:p w14:paraId="358D43F7" w14:textId="4A2B4568" w:rsidR="007A63F9" w:rsidRPr="003C376C" w:rsidRDefault="007A63F9" w:rsidP="007A63F9">
            <w:pPr>
              <w:jc w:val="center"/>
              <w:rPr>
                <w:rFonts w:cs="Arial"/>
                <w:color w:val="3C4038" w:themeColor="text2" w:themeShade="40"/>
                <w:sz w:val="20"/>
                <w:szCs w:val="20"/>
              </w:rPr>
            </w:pPr>
            <w:r w:rsidRPr="003C376C">
              <w:rPr>
                <w:rFonts w:cs="Arial"/>
                <w:color w:val="3C4038" w:themeColor="text2" w:themeShade="40"/>
                <w:sz w:val="20"/>
                <w:szCs w:val="20"/>
              </w:rPr>
              <w:t>$0.00</w:t>
            </w:r>
          </w:p>
        </w:tc>
      </w:tr>
      <w:tr w:rsidR="00706EC0" w:rsidRPr="008133AE" w14:paraId="3101445D" w14:textId="77777777" w:rsidTr="008B0607">
        <w:tc>
          <w:tcPr>
            <w:tcW w:w="1736" w:type="dxa"/>
            <w:shd w:val="clear" w:color="auto" w:fill="auto"/>
          </w:tcPr>
          <w:p w14:paraId="7DA3D595" w14:textId="345F3843" w:rsidR="00706EC0" w:rsidRPr="003C376C" w:rsidRDefault="00706EC0" w:rsidP="00706EC0">
            <w:pPr>
              <w:jc w:val="center"/>
              <w:rPr>
                <w:rFonts w:cs="Arial"/>
                <w:color w:val="3C4038" w:themeColor="text2" w:themeShade="40"/>
                <w:sz w:val="20"/>
                <w:szCs w:val="20"/>
              </w:rPr>
            </w:pPr>
            <w:r w:rsidRPr="003C376C">
              <w:rPr>
                <w:rFonts w:cs="Arial"/>
                <w:color w:val="3C4038" w:themeColor="text2" w:themeShade="40"/>
                <w:sz w:val="20"/>
                <w:szCs w:val="20"/>
              </w:rPr>
              <w:t>Standard Liquidity Indicator Codes</w:t>
            </w:r>
          </w:p>
        </w:tc>
        <w:tc>
          <w:tcPr>
            <w:tcW w:w="1736" w:type="dxa"/>
            <w:shd w:val="clear" w:color="auto" w:fill="auto"/>
          </w:tcPr>
          <w:p w14:paraId="1145A560" w14:textId="421B6943" w:rsidR="00706EC0" w:rsidRPr="003C376C" w:rsidRDefault="00706EC0" w:rsidP="00706EC0">
            <w:pPr>
              <w:jc w:val="center"/>
              <w:rPr>
                <w:rFonts w:cs="Arial"/>
                <w:color w:val="3C4038" w:themeColor="text2" w:themeShade="40"/>
                <w:sz w:val="20"/>
                <w:szCs w:val="20"/>
              </w:rPr>
            </w:pPr>
            <w:r w:rsidRPr="003C376C">
              <w:rPr>
                <w:rFonts w:cs="Arial"/>
                <w:color w:val="3C4038" w:themeColor="text2" w:themeShade="40"/>
                <w:sz w:val="20"/>
                <w:szCs w:val="20"/>
              </w:rPr>
              <w:t>AA, AB, AC</w:t>
            </w:r>
            <w:r w:rsidR="002E3A33" w:rsidRPr="003C376C">
              <w:rPr>
                <w:rFonts w:cs="Arial"/>
                <w:color w:val="3C4038" w:themeColor="text2" w:themeShade="40"/>
                <w:sz w:val="20"/>
                <w:szCs w:val="20"/>
              </w:rPr>
              <w:t>, AR</w:t>
            </w:r>
          </w:p>
        </w:tc>
        <w:tc>
          <w:tcPr>
            <w:tcW w:w="1736" w:type="dxa"/>
            <w:shd w:val="clear" w:color="auto" w:fill="auto"/>
          </w:tcPr>
          <w:p w14:paraId="37E60B3F" w14:textId="5D080DC9" w:rsidR="00706EC0" w:rsidRPr="003C376C" w:rsidRDefault="00706EC0" w:rsidP="00706EC0">
            <w:pPr>
              <w:jc w:val="center"/>
              <w:rPr>
                <w:rFonts w:cs="Arial"/>
                <w:color w:val="3C4038" w:themeColor="text2" w:themeShade="40"/>
                <w:sz w:val="20"/>
                <w:szCs w:val="20"/>
              </w:rPr>
            </w:pPr>
            <w:r w:rsidRPr="003C376C">
              <w:rPr>
                <w:rFonts w:cs="Arial"/>
                <w:color w:val="3C4038" w:themeColor="text2" w:themeShade="40"/>
                <w:sz w:val="20"/>
                <w:szCs w:val="20"/>
              </w:rPr>
              <w:t>Aa, Ab, Ac</w:t>
            </w:r>
            <w:r w:rsidR="002E3A33" w:rsidRPr="003C376C">
              <w:rPr>
                <w:rFonts w:cs="Arial"/>
                <w:color w:val="3C4038" w:themeColor="text2" w:themeShade="40"/>
                <w:sz w:val="20"/>
                <w:szCs w:val="20"/>
              </w:rPr>
              <w:t xml:space="preserve">, </w:t>
            </w:r>
            <w:proofErr w:type="spellStart"/>
            <w:r w:rsidR="008B0607">
              <w:rPr>
                <w:rFonts w:cs="Arial"/>
                <w:color w:val="3C4038" w:themeColor="text2" w:themeShade="40"/>
                <w:sz w:val="20"/>
                <w:szCs w:val="20"/>
              </w:rPr>
              <w:t>Ap</w:t>
            </w:r>
            <w:proofErr w:type="spellEnd"/>
            <w:r w:rsidR="008B0607">
              <w:rPr>
                <w:rFonts w:cs="Arial"/>
                <w:color w:val="3C4038" w:themeColor="text2" w:themeShade="40"/>
                <w:sz w:val="20"/>
                <w:szCs w:val="20"/>
              </w:rPr>
              <w:t xml:space="preserve">, </w:t>
            </w:r>
            <w:proofErr w:type="spellStart"/>
            <w:r w:rsidR="002E3A33" w:rsidRPr="003C376C">
              <w:rPr>
                <w:rFonts w:cs="Arial"/>
                <w:color w:val="3C4038" w:themeColor="text2" w:themeShade="40"/>
                <w:sz w:val="20"/>
                <w:szCs w:val="20"/>
              </w:rPr>
              <w:t>Ar</w:t>
            </w:r>
            <w:proofErr w:type="spellEnd"/>
          </w:p>
        </w:tc>
        <w:tc>
          <w:tcPr>
            <w:tcW w:w="1736" w:type="dxa"/>
            <w:shd w:val="clear" w:color="auto" w:fill="auto"/>
          </w:tcPr>
          <w:p w14:paraId="0F4A52A5" w14:textId="19412CB2" w:rsidR="00706EC0" w:rsidRPr="003C376C" w:rsidRDefault="00706EC0" w:rsidP="00706EC0">
            <w:pPr>
              <w:jc w:val="center"/>
              <w:rPr>
                <w:rFonts w:cs="Arial"/>
                <w:color w:val="3C4038" w:themeColor="text2" w:themeShade="40"/>
                <w:sz w:val="20"/>
                <w:szCs w:val="20"/>
              </w:rPr>
            </w:pPr>
            <w:r w:rsidRPr="003C376C">
              <w:rPr>
                <w:rFonts w:cs="Arial"/>
                <w:color w:val="3C4038" w:themeColor="text2" w:themeShade="40"/>
                <w:sz w:val="20"/>
                <w:szCs w:val="20"/>
              </w:rPr>
              <w:t xml:space="preserve">RA, Ra, RB, </w:t>
            </w:r>
            <w:proofErr w:type="spellStart"/>
            <w:r w:rsidRPr="003C376C">
              <w:rPr>
                <w:rFonts w:cs="Arial"/>
                <w:color w:val="3C4038" w:themeColor="text2" w:themeShade="40"/>
                <w:sz w:val="20"/>
                <w:szCs w:val="20"/>
              </w:rPr>
              <w:t>Rb</w:t>
            </w:r>
            <w:proofErr w:type="spellEnd"/>
            <w:r w:rsidRPr="003C376C">
              <w:rPr>
                <w:rFonts w:cs="Arial"/>
                <w:color w:val="3C4038" w:themeColor="text2" w:themeShade="40"/>
                <w:sz w:val="20"/>
                <w:szCs w:val="20"/>
              </w:rPr>
              <w:t xml:space="preserve">, RC, </w:t>
            </w:r>
            <w:proofErr w:type="spellStart"/>
            <w:r w:rsidRPr="003C376C">
              <w:rPr>
                <w:rFonts w:cs="Arial"/>
                <w:color w:val="3C4038" w:themeColor="text2" w:themeShade="40"/>
                <w:sz w:val="20"/>
                <w:szCs w:val="20"/>
              </w:rPr>
              <w:t>Rc</w:t>
            </w:r>
            <w:proofErr w:type="spellEnd"/>
            <w:r w:rsidR="002E3A33" w:rsidRPr="003C376C">
              <w:rPr>
                <w:rFonts w:cs="Arial"/>
                <w:color w:val="3C4038" w:themeColor="text2" w:themeShade="40"/>
                <w:sz w:val="20"/>
                <w:szCs w:val="20"/>
              </w:rPr>
              <w:t>, RR, Rr</w:t>
            </w:r>
          </w:p>
        </w:tc>
        <w:tc>
          <w:tcPr>
            <w:tcW w:w="1736" w:type="dxa"/>
            <w:shd w:val="clear" w:color="auto" w:fill="auto"/>
          </w:tcPr>
          <w:p w14:paraId="315146DB" w14:textId="0FF589D9" w:rsidR="00706EC0" w:rsidRPr="003C376C" w:rsidRDefault="00706EC0" w:rsidP="00706EC0">
            <w:pPr>
              <w:jc w:val="center"/>
              <w:rPr>
                <w:rFonts w:cs="Arial"/>
                <w:color w:val="3C4038" w:themeColor="text2" w:themeShade="40"/>
                <w:sz w:val="20"/>
                <w:szCs w:val="20"/>
              </w:rPr>
            </w:pPr>
            <w:r w:rsidRPr="003C376C">
              <w:rPr>
                <w:rFonts w:cs="Arial"/>
                <w:color w:val="3C4038" w:themeColor="text2" w:themeShade="40"/>
                <w:sz w:val="20"/>
                <w:szCs w:val="20"/>
              </w:rPr>
              <w:t>X</w:t>
            </w:r>
          </w:p>
        </w:tc>
        <w:tc>
          <w:tcPr>
            <w:tcW w:w="1736" w:type="dxa"/>
            <w:shd w:val="clear" w:color="auto" w:fill="auto"/>
          </w:tcPr>
          <w:p w14:paraId="1617FAE8" w14:textId="59B5FD3B" w:rsidR="00706EC0" w:rsidRPr="003C376C" w:rsidRDefault="00706EC0" w:rsidP="00706EC0">
            <w:pPr>
              <w:jc w:val="center"/>
              <w:rPr>
                <w:rFonts w:cs="Arial"/>
                <w:color w:val="3C4038" w:themeColor="text2" w:themeShade="40"/>
                <w:sz w:val="20"/>
                <w:szCs w:val="20"/>
              </w:rPr>
            </w:pPr>
            <w:r w:rsidRPr="003C376C">
              <w:rPr>
                <w:rFonts w:cs="Arial"/>
                <w:color w:val="3C4038" w:themeColor="text2" w:themeShade="40"/>
                <w:sz w:val="20"/>
                <w:szCs w:val="20"/>
              </w:rPr>
              <w:t>O</w:t>
            </w:r>
          </w:p>
        </w:tc>
      </w:tr>
    </w:tbl>
    <w:p w14:paraId="7E43BF7C" w14:textId="637370C4" w:rsidR="00FC02F1" w:rsidRDefault="00FC02F1" w:rsidP="007377D0">
      <w:pPr>
        <w:rPr>
          <w:color w:val="414041" w:themeColor="text1"/>
          <w:sz w:val="20"/>
          <w:szCs w:val="20"/>
        </w:rPr>
      </w:pPr>
    </w:p>
    <w:p w14:paraId="5EB9FDB9" w14:textId="77777777" w:rsidR="00FC02F1" w:rsidRDefault="00FC02F1">
      <w:pPr>
        <w:rPr>
          <w:color w:val="414041" w:themeColor="text1"/>
          <w:sz w:val="20"/>
          <w:szCs w:val="20"/>
        </w:rPr>
      </w:pPr>
      <w:r>
        <w:rPr>
          <w:color w:val="414041" w:themeColor="text1"/>
          <w:sz w:val="20"/>
          <w:szCs w:val="20"/>
        </w:rPr>
        <w:br w:type="page"/>
      </w:r>
    </w:p>
    <w:p w14:paraId="1F229766" w14:textId="0EB42CE5" w:rsidR="00F81425" w:rsidRPr="008133AE" w:rsidRDefault="00F81425" w:rsidP="00F81425">
      <w:pPr>
        <w:pStyle w:val="Heading2"/>
        <w:ind w:left="360"/>
      </w:pPr>
      <w:bookmarkStart w:id="6" w:name="_Toc110949407"/>
      <w:r w:rsidRPr="008133AE">
        <w:lastRenderedPageBreak/>
        <w:t>b)</w:t>
      </w:r>
      <w:r w:rsidRPr="008133AE">
        <w:rPr>
          <w:rFonts w:cstheme="minorHAnsi"/>
          <w:b/>
          <w:color w:val="414041" w:themeColor="text1"/>
          <w:sz w:val="24"/>
          <w:szCs w:val="24"/>
        </w:rPr>
        <w:t xml:space="preserve"> </w:t>
      </w:r>
      <w:r w:rsidRPr="008133AE">
        <w:t>Liquidity Indicator Codes and Associated Fees</w:t>
      </w:r>
      <w:bookmarkEnd w:id="6"/>
    </w:p>
    <w:p w14:paraId="45F5C4DB" w14:textId="77777777" w:rsidR="00F81425" w:rsidRPr="00AF386E" w:rsidRDefault="00F81425">
      <w:pPr>
        <w:rPr>
          <w:i/>
          <w:color w:val="414041" w:themeColor="text1"/>
          <w:sz w:val="20"/>
          <w:szCs w:val="20"/>
        </w:rPr>
      </w:pPr>
    </w:p>
    <w:tbl>
      <w:tblPr>
        <w:tblStyle w:val="TableGrid"/>
        <w:tblW w:w="5000" w:type="pct"/>
        <w:tblBorders>
          <w:top w:val="single" w:sz="4" w:space="0" w:color="A6A6A6" w:themeColor="accent2"/>
          <w:left w:val="single" w:sz="4" w:space="0" w:color="A6A6A6" w:themeColor="accent2"/>
          <w:bottom w:val="single" w:sz="4" w:space="0" w:color="A6A6A6" w:themeColor="accent2"/>
          <w:right w:val="single" w:sz="4" w:space="0" w:color="A6A6A6" w:themeColor="accent2"/>
          <w:insideH w:val="single" w:sz="4" w:space="0" w:color="A6A6A6" w:themeColor="accent2"/>
          <w:insideV w:val="single" w:sz="4" w:space="0" w:color="A6A6A6" w:themeColor="accent2"/>
        </w:tblBorders>
        <w:tblLook w:val="04A0" w:firstRow="1" w:lastRow="0" w:firstColumn="1" w:lastColumn="0" w:noHBand="0" w:noVBand="1"/>
      </w:tblPr>
      <w:tblGrid>
        <w:gridCol w:w="1075"/>
        <w:gridCol w:w="4133"/>
        <w:gridCol w:w="2604"/>
        <w:gridCol w:w="2604"/>
      </w:tblGrid>
      <w:tr w:rsidR="008273CC" w:rsidRPr="008133AE" w14:paraId="438EE159" w14:textId="77777777" w:rsidTr="00130D45">
        <w:tc>
          <w:tcPr>
            <w:tcW w:w="516" w:type="pct"/>
            <w:shd w:val="clear" w:color="auto" w:fill="414041" w:themeFill="text1"/>
            <w:vAlign w:val="bottom"/>
          </w:tcPr>
          <w:p w14:paraId="0D16DDC1" w14:textId="5122D393" w:rsidR="008273CC" w:rsidRPr="003C376C" w:rsidRDefault="008273CC" w:rsidP="008273CC">
            <w:pPr>
              <w:jc w:val="center"/>
              <w:rPr>
                <w:b/>
                <w:bCs/>
                <w:color w:val="FFFFFF" w:themeColor="background1"/>
                <w:sz w:val="20"/>
                <w:szCs w:val="20"/>
              </w:rPr>
            </w:pPr>
            <w:r w:rsidRPr="003C376C">
              <w:rPr>
                <w:b/>
                <w:bCs/>
                <w:color w:val="FFFFFF" w:themeColor="background1"/>
                <w:sz w:val="20"/>
                <w:szCs w:val="20"/>
              </w:rPr>
              <w:t>Liquidity Indicator Code</w:t>
            </w:r>
          </w:p>
        </w:tc>
        <w:tc>
          <w:tcPr>
            <w:tcW w:w="1984" w:type="pct"/>
            <w:shd w:val="clear" w:color="auto" w:fill="414041" w:themeFill="text1"/>
            <w:vAlign w:val="bottom"/>
          </w:tcPr>
          <w:p w14:paraId="4145E358" w14:textId="6406ADCB" w:rsidR="008273CC" w:rsidRPr="003C376C" w:rsidRDefault="008273CC" w:rsidP="008273CC">
            <w:pPr>
              <w:jc w:val="center"/>
              <w:rPr>
                <w:b/>
                <w:bCs/>
                <w:color w:val="FFFFFF" w:themeColor="background1"/>
                <w:sz w:val="20"/>
                <w:szCs w:val="20"/>
              </w:rPr>
            </w:pPr>
            <w:r w:rsidRPr="003C376C">
              <w:rPr>
                <w:b/>
                <w:bCs/>
                <w:color w:val="FFFFFF" w:themeColor="background1"/>
                <w:sz w:val="20"/>
                <w:szCs w:val="20"/>
              </w:rPr>
              <w:t>Description</w:t>
            </w:r>
          </w:p>
        </w:tc>
        <w:tc>
          <w:tcPr>
            <w:tcW w:w="1250" w:type="pct"/>
            <w:shd w:val="clear" w:color="auto" w:fill="414041" w:themeFill="text1"/>
            <w:vAlign w:val="bottom"/>
          </w:tcPr>
          <w:p w14:paraId="2E36066B" w14:textId="77777777" w:rsidR="008273CC" w:rsidRPr="003C376C" w:rsidRDefault="008273CC" w:rsidP="008273CC">
            <w:pPr>
              <w:widowControl w:val="0"/>
              <w:jc w:val="center"/>
              <w:rPr>
                <w:b/>
                <w:bCs/>
                <w:color w:val="FFFFFF" w:themeColor="background1"/>
                <w:sz w:val="20"/>
                <w:szCs w:val="20"/>
              </w:rPr>
            </w:pPr>
            <w:r w:rsidRPr="003C376C">
              <w:rPr>
                <w:b/>
                <w:bCs/>
                <w:color w:val="FFFFFF" w:themeColor="background1"/>
                <w:sz w:val="20"/>
                <w:szCs w:val="20"/>
              </w:rPr>
              <w:t>Fee/(Rebate)</w:t>
            </w:r>
          </w:p>
          <w:p w14:paraId="312F8395" w14:textId="69A0FFED" w:rsidR="008273CC" w:rsidRPr="003C376C" w:rsidRDefault="008273CC" w:rsidP="008273CC">
            <w:pPr>
              <w:jc w:val="center"/>
              <w:rPr>
                <w:b/>
                <w:bCs/>
                <w:color w:val="FFFFFF" w:themeColor="background1"/>
                <w:sz w:val="20"/>
                <w:szCs w:val="20"/>
              </w:rPr>
            </w:pPr>
            <w:r w:rsidRPr="003C376C">
              <w:rPr>
                <w:b/>
                <w:bCs/>
                <w:color w:val="FFFFFF" w:themeColor="background1"/>
                <w:sz w:val="20"/>
                <w:szCs w:val="20"/>
              </w:rPr>
              <w:t>Securities Priced at or Above $1.00</w:t>
            </w:r>
          </w:p>
        </w:tc>
        <w:tc>
          <w:tcPr>
            <w:tcW w:w="1250" w:type="pct"/>
            <w:shd w:val="clear" w:color="auto" w:fill="414041" w:themeFill="text1"/>
            <w:vAlign w:val="bottom"/>
          </w:tcPr>
          <w:p w14:paraId="706E9008" w14:textId="77777777" w:rsidR="008273CC" w:rsidRPr="003C376C" w:rsidRDefault="008273CC" w:rsidP="008273CC">
            <w:pPr>
              <w:widowControl w:val="0"/>
              <w:jc w:val="center"/>
              <w:rPr>
                <w:b/>
                <w:bCs/>
                <w:color w:val="FFFFFF" w:themeColor="background1"/>
                <w:sz w:val="20"/>
                <w:szCs w:val="20"/>
              </w:rPr>
            </w:pPr>
            <w:r w:rsidRPr="003C376C">
              <w:rPr>
                <w:b/>
                <w:bCs/>
                <w:color w:val="FFFFFF" w:themeColor="background1"/>
                <w:sz w:val="20"/>
                <w:szCs w:val="20"/>
              </w:rPr>
              <w:t>Fee/(Rebate)</w:t>
            </w:r>
          </w:p>
          <w:p w14:paraId="06D7B217" w14:textId="5C9883B5" w:rsidR="008273CC" w:rsidRPr="003C376C" w:rsidRDefault="008273CC" w:rsidP="008273CC">
            <w:pPr>
              <w:jc w:val="center"/>
              <w:rPr>
                <w:b/>
                <w:bCs/>
                <w:color w:val="FFFFFF" w:themeColor="background1"/>
                <w:sz w:val="20"/>
                <w:szCs w:val="20"/>
              </w:rPr>
            </w:pPr>
            <w:r w:rsidRPr="003C376C">
              <w:rPr>
                <w:b/>
                <w:bCs/>
                <w:color w:val="FFFFFF" w:themeColor="background1"/>
                <w:sz w:val="20"/>
                <w:szCs w:val="20"/>
              </w:rPr>
              <w:t>Securities Priced Below $1.00</w:t>
            </w:r>
          </w:p>
        </w:tc>
      </w:tr>
      <w:tr w:rsidR="003C376C" w:rsidRPr="003C376C" w14:paraId="3BF7A5ED" w14:textId="77777777" w:rsidTr="00130D45">
        <w:tc>
          <w:tcPr>
            <w:tcW w:w="516" w:type="pct"/>
            <w:tcBorders>
              <w:top w:val="single" w:sz="18" w:space="0" w:color="auto"/>
            </w:tcBorders>
            <w:shd w:val="clear" w:color="auto" w:fill="auto"/>
          </w:tcPr>
          <w:p w14:paraId="5B67E42E" w14:textId="1E9BE378" w:rsidR="008273CC" w:rsidRPr="003C376C" w:rsidRDefault="008273CC" w:rsidP="008273CC">
            <w:pPr>
              <w:jc w:val="center"/>
              <w:rPr>
                <w:color w:val="3C4038" w:themeColor="text2" w:themeShade="40"/>
                <w:sz w:val="20"/>
                <w:szCs w:val="20"/>
              </w:rPr>
            </w:pPr>
            <w:r w:rsidRPr="003C376C">
              <w:rPr>
                <w:rFonts w:cstheme="minorHAnsi"/>
                <w:color w:val="3C4038" w:themeColor="text2" w:themeShade="40"/>
                <w:sz w:val="20"/>
                <w:szCs w:val="20"/>
              </w:rPr>
              <w:t>AA</w:t>
            </w:r>
          </w:p>
        </w:tc>
        <w:tc>
          <w:tcPr>
            <w:tcW w:w="1984" w:type="pct"/>
            <w:tcBorders>
              <w:top w:val="single" w:sz="18" w:space="0" w:color="auto"/>
            </w:tcBorders>
            <w:shd w:val="clear" w:color="auto" w:fill="auto"/>
          </w:tcPr>
          <w:p w14:paraId="50B4AF57" w14:textId="5D723295" w:rsidR="008273CC" w:rsidRPr="003C376C" w:rsidRDefault="008273CC" w:rsidP="008273CC">
            <w:pPr>
              <w:rPr>
                <w:color w:val="3C4038" w:themeColor="text2" w:themeShade="40"/>
                <w:sz w:val="20"/>
                <w:szCs w:val="20"/>
              </w:rPr>
            </w:pPr>
            <w:r w:rsidRPr="003C376C">
              <w:rPr>
                <w:rFonts w:cstheme="minorHAnsi"/>
                <w:color w:val="3C4038" w:themeColor="text2" w:themeShade="40"/>
                <w:sz w:val="20"/>
                <w:szCs w:val="20"/>
              </w:rPr>
              <w:t>Adds Liquidity, Displayed Order (Tape A)</w:t>
            </w:r>
          </w:p>
        </w:tc>
        <w:tc>
          <w:tcPr>
            <w:tcW w:w="1250" w:type="pct"/>
            <w:tcBorders>
              <w:top w:val="single" w:sz="18" w:space="0" w:color="auto"/>
            </w:tcBorders>
          </w:tcPr>
          <w:p w14:paraId="3EB779F7" w14:textId="239B69AE" w:rsidR="008273CC" w:rsidRPr="003C376C" w:rsidRDefault="00427602" w:rsidP="008273CC">
            <w:pPr>
              <w:jc w:val="center"/>
              <w:rPr>
                <w:color w:val="3C4038" w:themeColor="text2" w:themeShade="40"/>
                <w:sz w:val="20"/>
                <w:szCs w:val="20"/>
              </w:rPr>
            </w:pPr>
            <w:r>
              <w:rPr>
                <w:rFonts w:cstheme="minorHAnsi"/>
                <w:color w:val="3C4038" w:themeColor="text2" w:themeShade="40"/>
                <w:sz w:val="20"/>
                <w:szCs w:val="20"/>
              </w:rPr>
              <w:t>($0.0029</w:t>
            </w:r>
            <w:r w:rsidR="008273CC" w:rsidRPr="003C376C">
              <w:rPr>
                <w:rFonts w:cstheme="minorHAnsi"/>
                <w:color w:val="3C4038" w:themeColor="text2" w:themeShade="40"/>
                <w:sz w:val="20"/>
                <w:szCs w:val="20"/>
              </w:rPr>
              <w:t>)</w:t>
            </w:r>
          </w:p>
        </w:tc>
        <w:tc>
          <w:tcPr>
            <w:tcW w:w="1250" w:type="pct"/>
            <w:tcBorders>
              <w:top w:val="single" w:sz="18" w:space="0" w:color="auto"/>
            </w:tcBorders>
          </w:tcPr>
          <w:p w14:paraId="138B6A1D" w14:textId="4D776944" w:rsidR="008273CC" w:rsidRPr="003C376C" w:rsidRDefault="00D928C6" w:rsidP="008273CC">
            <w:pPr>
              <w:jc w:val="center"/>
              <w:rPr>
                <w:color w:val="3C4038" w:themeColor="text2" w:themeShade="40"/>
                <w:sz w:val="20"/>
                <w:szCs w:val="20"/>
              </w:rPr>
            </w:pPr>
            <w:r>
              <w:rPr>
                <w:rFonts w:cstheme="minorHAnsi"/>
                <w:color w:val="3C4038" w:themeColor="text2" w:themeShade="40"/>
                <w:sz w:val="20"/>
                <w:szCs w:val="20"/>
              </w:rPr>
              <w:t>(0.10</w:t>
            </w:r>
            <w:r w:rsidR="008273CC" w:rsidRPr="003C376C">
              <w:rPr>
                <w:rFonts w:cstheme="minorHAnsi"/>
                <w:color w:val="3C4038" w:themeColor="text2" w:themeShade="40"/>
                <w:sz w:val="20"/>
                <w:szCs w:val="20"/>
              </w:rPr>
              <w:t>% of Dollar Value)</w:t>
            </w:r>
          </w:p>
        </w:tc>
      </w:tr>
      <w:tr w:rsidR="003C376C" w:rsidRPr="003C376C" w14:paraId="12E77097" w14:textId="77777777" w:rsidTr="00130D45">
        <w:tc>
          <w:tcPr>
            <w:tcW w:w="516" w:type="pct"/>
            <w:shd w:val="clear" w:color="auto" w:fill="F1F2F0" w:themeFill="text2"/>
          </w:tcPr>
          <w:p w14:paraId="26A54306" w14:textId="36C45BD1" w:rsidR="008273CC" w:rsidRPr="003C376C" w:rsidRDefault="008273CC" w:rsidP="008273CC">
            <w:pPr>
              <w:jc w:val="center"/>
              <w:rPr>
                <w:color w:val="3C4038" w:themeColor="text2" w:themeShade="40"/>
                <w:sz w:val="20"/>
                <w:szCs w:val="20"/>
              </w:rPr>
            </w:pPr>
            <w:r w:rsidRPr="003C376C">
              <w:rPr>
                <w:rFonts w:cstheme="minorHAnsi"/>
                <w:color w:val="3C4038" w:themeColor="text2" w:themeShade="40"/>
                <w:sz w:val="20"/>
                <w:szCs w:val="20"/>
              </w:rPr>
              <w:t>AB</w:t>
            </w:r>
          </w:p>
        </w:tc>
        <w:tc>
          <w:tcPr>
            <w:tcW w:w="1984" w:type="pct"/>
            <w:shd w:val="clear" w:color="auto" w:fill="F1F2F0" w:themeFill="text2"/>
          </w:tcPr>
          <w:p w14:paraId="2D09136C" w14:textId="26032B85" w:rsidR="008273CC" w:rsidRPr="003C376C" w:rsidRDefault="008273CC" w:rsidP="008273CC">
            <w:pPr>
              <w:rPr>
                <w:color w:val="3C4038" w:themeColor="text2" w:themeShade="40"/>
                <w:sz w:val="20"/>
                <w:szCs w:val="20"/>
              </w:rPr>
            </w:pPr>
            <w:r w:rsidRPr="003C376C">
              <w:rPr>
                <w:rFonts w:cstheme="minorHAnsi"/>
                <w:color w:val="3C4038" w:themeColor="text2" w:themeShade="40"/>
                <w:sz w:val="20"/>
                <w:szCs w:val="20"/>
              </w:rPr>
              <w:t>Adds Liquidity, Displayed Order (Tape B)</w:t>
            </w:r>
          </w:p>
        </w:tc>
        <w:tc>
          <w:tcPr>
            <w:tcW w:w="1250" w:type="pct"/>
            <w:shd w:val="clear" w:color="auto" w:fill="F1F2F0" w:themeFill="text2"/>
          </w:tcPr>
          <w:p w14:paraId="503AF2B2" w14:textId="6187396D" w:rsidR="008273CC" w:rsidRPr="003C376C" w:rsidRDefault="00427602" w:rsidP="008273CC">
            <w:pPr>
              <w:jc w:val="center"/>
              <w:rPr>
                <w:color w:val="3C4038" w:themeColor="text2" w:themeShade="40"/>
                <w:sz w:val="20"/>
                <w:szCs w:val="20"/>
              </w:rPr>
            </w:pPr>
            <w:r>
              <w:rPr>
                <w:rFonts w:cstheme="minorHAnsi"/>
                <w:color w:val="3C4038" w:themeColor="text2" w:themeShade="40"/>
                <w:sz w:val="20"/>
                <w:szCs w:val="20"/>
              </w:rPr>
              <w:t>($0.0029</w:t>
            </w:r>
            <w:r w:rsidR="008273CC" w:rsidRPr="003C376C">
              <w:rPr>
                <w:rFonts w:cstheme="minorHAnsi"/>
                <w:color w:val="3C4038" w:themeColor="text2" w:themeShade="40"/>
                <w:sz w:val="20"/>
                <w:szCs w:val="20"/>
              </w:rPr>
              <w:t>)</w:t>
            </w:r>
          </w:p>
        </w:tc>
        <w:tc>
          <w:tcPr>
            <w:tcW w:w="1250" w:type="pct"/>
            <w:shd w:val="clear" w:color="auto" w:fill="F1F2F0" w:themeFill="text2"/>
          </w:tcPr>
          <w:p w14:paraId="007D760D" w14:textId="0D631712" w:rsidR="008273CC" w:rsidRPr="003C376C" w:rsidRDefault="00D928C6" w:rsidP="008273CC">
            <w:pPr>
              <w:jc w:val="center"/>
              <w:rPr>
                <w:color w:val="3C4038" w:themeColor="text2" w:themeShade="40"/>
                <w:sz w:val="20"/>
                <w:szCs w:val="20"/>
              </w:rPr>
            </w:pPr>
            <w:r>
              <w:rPr>
                <w:rFonts w:cstheme="minorHAnsi"/>
                <w:color w:val="3C4038" w:themeColor="text2" w:themeShade="40"/>
                <w:sz w:val="20"/>
                <w:szCs w:val="20"/>
              </w:rPr>
              <w:t>(0.10</w:t>
            </w:r>
            <w:r w:rsidR="008273CC" w:rsidRPr="003C376C">
              <w:rPr>
                <w:rFonts w:cstheme="minorHAnsi"/>
                <w:color w:val="3C4038" w:themeColor="text2" w:themeShade="40"/>
                <w:sz w:val="20"/>
                <w:szCs w:val="20"/>
              </w:rPr>
              <w:t>% of Dollar Value)</w:t>
            </w:r>
          </w:p>
        </w:tc>
      </w:tr>
      <w:tr w:rsidR="003C376C" w:rsidRPr="003C376C" w14:paraId="44F56054" w14:textId="77777777" w:rsidTr="00130D45">
        <w:tc>
          <w:tcPr>
            <w:tcW w:w="516" w:type="pct"/>
            <w:shd w:val="clear" w:color="auto" w:fill="auto"/>
          </w:tcPr>
          <w:p w14:paraId="53D71C88" w14:textId="23658B39" w:rsidR="008273CC" w:rsidRPr="003C376C" w:rsidRDefault="008273CC" w:rsidP="008273CC">
            <w:pPr>
              <w:jc w:val="center"/>
              <w:rPr>
                <w:rFonts w:cstheme="minorHAnsi"/>
                <w:color w:val="3C4038" w:themeColor="text2" w:themeShade="40"/>
                <w:sz w:val="20"/>
                <w:szCs w:val="20"/>
              </w:rPr>
            </w:pPr>
            <w:r w:rsidRPr="003C376C">
              <w:rPr>
                <w:rFonts w:cstheme="minorHAnsi"/>
                <w:color w:val="3C4038" w:themeColor="text2" w:themeShade="40"/>
                <w:sz w:val="20"/>
                <w:szCs w:val="20"/>
              </w:rPr>
              <w:t>AC</w:t>
            </w:r>
          </w:p>
        </w:tc>
        <w:tc>
          <w:tcPr>
            <w:tcW w:w="1984" w:type="pct"/>
            <w:shd w:val="clear" w:color="auto" w:fill="auto"/>
          </w:tcPr>
          <w:p w14:paraId="7E6E78C6" w14:textId="099AC906" w:rsidR="008273CC" w:rsidRPr="003C376C" w:rsidRDefault="008273CC" w:rsidP="008273CC">
            <w:pPr>
              <w:rPr>
                <w:rFonts w:cstheme="minorHAnsi"/>
                <w:color w:val="3C4038" w:themeColor="text2" w:themeShade="40"/>
                <w:sz w:val="20"/>
                <w:szCs w:val="20"/>
              </w:rPr>
            </w:pPr>
            <w:r w:rsidRPr="003C376C">
              <w:rPr>
                <w:rFonts w:cstheme="minorHAnsi"/>
                <w:color w:val="3C4038" w:themeColor="text2" w:themeShade="40"/>
                <w:sz w:val="20"/>
                <w:szCs w:val="20"/>
              </w:rPr>
              <w:t>Adds Liquidity, Displayed Order(Tape C)</w:t>
            </w:r>
          </w:p>
        </w:tc>
        <w:tc>
          <w:tcPr>
            <w:tcW w:w="1250" w:type="pct"/>
            <w:shd w:val="clear" w:color="auto" w:fill="auto"/>
          </w:tcPr>
          <w:p w14:paraId="6F1C4F4B" w14:textId="0438554F" w:rsidR="008273CC" w:rsidRPr="003C376C" w:rsidRDefault="00427602" w:rsidP="008273CC">
            <w:pPr>
              <w:jc w:val="center"/>
              <w:rPr>
                <w:rFonts w:cstheme="minorHAnsi"/>
                <w:color w:val="3C4038" w:themeColor="text2" w:themeShade="40"/>
                <w:sz w:val="20"/>
                <w:szCs w:val="20"/>
              </w:rPr>
            </w:pPr>
            <w:r>
              <w:rPr>
                <w:rFonts w:cstheme="minorHAnsi"/>
                <w:color w:val="3C4038" w:themeColor="text2" w:themeShade="40"/>
                <w:sz w:val="20"/>
                <w:szCs w:val="20"/>
              </w:rPr>
              <w:t>($0.0029</w:t>
            </w:r>
            <w:r w:rsidR="008273CC" w:rsidRPr="003C376C">
              <w:rPr>
                <w:rFonts w:cstheme="minorHAnsi"/>
                <w:color w:val="3C4038" w:themeColor="text2" w:themeShade="40"/>
                <w:sz w:val="20"/>
                <w:szCs w:val="20"/>
              </w:rPr>
              <w:t>)</w:t>
            </w:r>
          </w:p>
        </w:tc>
        <w:tc>
          <w:tcPr>
            <w:tcW w:w="1250" w:type="pct"/>
          </w:tcPr>
          <w:p w14:paraId="2C1AEAC1" w14:textId="69558BFB" w:rsidR="008273CC" w:rsidRPr="003C376C" w:rsidRDefault="00D928C6" w:rsidP="008273CC">
            <w:pPr>
              <w:jc w:val="center"/>
              <w:rPr>
                <w:rFonts w:cstheme="minorHAnsi"/>
                <w:color w:val="3C4038" w:themeColor="text2" w:themeShade="40"/>
                <w:sz w:val="20"/>
                <w:szCs w:val="20"/>
              </w:rPr>
            </w:pPr>
            <w:r>
              <w:rPr>
                <w:rFonts w:cstheme="minorHAnsi"/>
                <w:color w:val="3C4038" w:themeColor="text2" w:themeShade="40"/>
                <w:sz w:val="20"/>
                <w:szCs w:val="20"/>
              </w:rPr>
              <w:t>(0.10</w:t>
            </w:r>
            <w:r w:rsidR="008273CC" w:rsidRPr="003C376C">
              <w:rPr>
                <w:rFonts w:cstheme="minorHAnsi"/>
                <w:color w:val="3C4038" w:themeColor="text2" w:themeShade="40"/>
                <w:sz w:val="20"/>
                <w:szCs w:val="20"/>
              </w:rPr>
              <w:t>% of Dollar Value)</w:t>
            </w:r>
          </w:p>
        </w:tc>
      </w:tr>
      <w:tr w:rsidR="003C376C" w:rsidRPr="003C376C" w14:paraId="4F51BA5B" w14:textId="77777777" w:rsidTr="00130D45">
        <w:tc>
          <w:tcPr>
            <w:tcW w:w="516" w:type="pct"/>
            <w:shd w:val="clear" w:color="auto" w:fill="F1F2F0" w:themeFill="text2"/>
          </w:tcPr>
          <w:p w14:paraId="002FD428" w14:textId="18FB8BF8" w:rsidR="008C2B89" w:rsidRPr="003C376C" w:rsidRDefault="008C2B89" w:rsidP="008C2B89">
            <w:pPr>
              <w:jc w:val="center"/>
              <w:rPr>
                <w:rFonts w:cstheme="minorHAnsi"/>
                <w:color w:val="3C4038" w:themeColor="text2" w:themeShade="40"/>
                <w:sz w:val="20"/>
                <w:szCs w:val="20"/>
              </w:rPr>
            </w:pPr>
            <w:r w:rsidRPr="003C376C">
              <w:rPr>
                <w:rFonts w:cstheme="minorHAnsi"/>
                <w:color w:val="3C4038" w:themeColor="text2" w:themeShade="40"/>
                <w:sz w:val="20"/>
                <w:szCs w:val="20"/>
              </w:rPr>
              <w:t>AR</w:t>
            </w:r>
          </w:p>
        </w:tc>
        <w:tc>
          <w:tcPr>
            <w:tcW w:w="1984" w:type="pct"/>
            <w:shd w:val="clear" w:color="auto" w:fill="F1F2F0" w:themeFill="text2"/>
          </w:tcPr>
          <w:p w14:paraId="45EABF73" w14:textId="7C68324A" w:rsidR="008C2B89" w:rsidRPr="003C376C" w:rsidRDefault="008C2B89" w:rsidP="008C2B89">
            <w:pPr>
              <w:rPr>
                <w:rFonts w:cstheme="minorHAnsi"/>
                <w:color w:val="3C4038" w:themeColor="text2" w:themeShade="40"/>
                <w:sz w:val="20"/>
                <w:szCs w:val="20"/>
              </w:rPr>
            </w:pPr>
            <w:r w:rsidRPr="003C376C">
              <w:rPr>
                <w:rFonts w:cstheme="minorHAnsi"/>
                <w:color w:val="3C4038" w:themeColor="text2" w:themeShade="40"/>
                <w:sz w:val="20"/>
                <w:szCs w:val="20"/>
              </w:rPr>
              <w:t>Retail Order, Adds Liquidity, Displayed Order (All Tapes)</w:t>
            </w:r>
          </w:p>
        </w:tc>
        <w:tc>
          <w:tcPr>
            <w:tcW w:w="1250" w:type="pct"/>
            <w:shd w:val="clear" w:color="auto" w:fill="F1F2F0" w:themeFill="text2"/>
          </w:tcPr>
          <w:p w14:paraId="59BF6C1B" w14:textId="6B46FD8B" w:rsidR="008C2B89" w:rsidRPr="003C376C" w:rsidRDefault="008C2B89" w:rsidP="008C2B89">
            <w:pPr>
              <w:jc w:val="center"/>
              <w:rPr>
                <w:rFonts w:cstheme="minorHAnsi"/>
                <w:color w:val="3C4038" w:themeColor="text2" w:themeShade="40"/>
                <w:sz w:val="20"/>
                <w:szCs w:val="20"/>
              </w:rPr>
            </w:pPr>
            <w:r w:rsidRPr="003C376C">
              <w:rPr>
                <w:rFonts w:cstheme="minorHAnsi"/>
                <w:color w:val="3C4038" w:themeColor="text2" w:themeShade="40"/>
                <w:sz w:val="20"/>
                <w:szCs w:val="20"/>
              </w:rPr>
              <w:t>($0.0037)</w:t>
            </w:r>
          </w:p>
        </w:tc>
        <w:tc>
          <w:tcPr>
            <w:tcW w:w="1250" w:type="pct"/>
            <w:shd w:val="clear" w:color="auto" w:fill="F1F2F0" w:themeFill="text2"/>
          </w:tcPr>
          <w:p w14:paraId="1FA31B0E" w14:textId="343948A5" w:rsidR="008C2B89" w:rsidRPr="003C376C" w:rsidRDefault="00D928C6" w:rsidP="008C2B89">
            <w:pPr>
              <w:jc w:val="center"/>
              <w:rPr>
                <w:rFonts w:cstheme="minorHAnsi"/>
                <w:color w:val="3C4038" w:themeColor="text2" w:themeShade="40"/>
                <w:sz w:val="20"/>
                <w:szCs w:val="20"/>
              </w:rPr>
            </w:pPr>
            <w:r>
              <w:rPr>
                <w:rFonts w:cstheme="minorHAnsi"/>
                <w:color w:val="3C4038" w:themeColor="text2" w:themeShade="40"/>
                <w:sz w:val="20"/>
                <w:szCs w:val="20"/>
              </w:rPr>
              <w:t>(0.10</w:t>
            </w:r>
            <w:r w:rsidR="008C2B89" w:rsidRPr="003C376C">
              <w:rPr>
                <w:rFonts w:cstheme="minorHAnsi"/>
                <w:color w:val="3C4038" w:themeColor="text2" w:themeShade="40"/>
                <w:sz w:val="20"/>
                <w:szCs w:val="20"/>
              </w:rPr>
              <w:t>% of Dollar Value)</w:t>
            </w:r>
          </w:p>
        </w:tc>
      </w:tr>
      <w:tr w:rsidR="003C376C" w:rsidRPr="003C376C" w14:paraId="66A3042C" w14:textId="77777777" w:rsidTr="00130D45">
        <w:tc>
          <w:tcPr>
            <w:tcW w:w="516" w:type="pct"/>
            <w:shd w:val="clear" w:color="auto" w:fill="FFFFFF" w:themeFill="background1"/>
          </w:tcPr>
          <w:p w14:paraId="6960B6D6" w14:textId="14D6258F" w:rsidR="008273CC" w:rsidRPr="003C376C" w:rsidRDefault="008273CC" w:rsidP="008273CC">
            <w:pPr>
              <w:jc w:val="center"/>
              <w:rPr>
                <w:color w:val="3C4038" w:themeColor="text2" w:themeShade="40"/>
                <w:sz w:val="20"/>
                <w:szCs w:val="20"/>
              </w:rPr>
            </w:pPr>
            <w:r w:rsidRPr="003C376C">
              <w:rPr>
                <w:rFonts w:cstheme="minorHAnsi"/>
                <w:color w:val="3C4038" w:themeColor="text2" w:themeShade="40"/>
                <w:sz w:val="20"/>
                <w:szCs w:val="20"/>
              </w:rPr>
              <w:t>Aa</w:t>
            </w:r>
          </w:p>
        </w:tc>
        <w:tc>
          <w:tcPr>
            <w:tcW w:w="1984" w:type="pct"/>
            <w:shd w:val="clear" w:color="auto" w:fill="FFFFFF" w:themeFill="background1"/>
          </w:tcPr>
          <w:p w14:paraId="3E531B90" w14:textId="766B975E" w:rsidR="008273CC" w:rsidRPr="003C376C" w:rsidRDefault="008273CC" w:rsidP="008273CC">
            <w:pPr>
              <w:rPr>
                <w:color w:val="3C4038" w:themeColor="text2" w:themeShade="40"/>
                <w:sz w:val="20"/>
                <w:szCs w:val="20"/>
              </w:rPr>
            </w:pPr>
            <w:r w:rsidRPr="003C376C">
              <w:rPr>
                <w:rFonts w:cstheme="minorHAnsi"/>
                <w:color w:val="3C4038" w:themeColor="text2" w:themeShade="40"/>
                <w:sz w:val="20"/>
                <w:szCs w:val="20"/>
              </w:rPr>
              <w:t>Adds Liquidity, Non-Displayed Order (Tape A)</w:t>
            </w:r>
          </w:p>
        </w:tc>
        <w:tc>
          <w:tcPr>
            <w:tcW w:w="1250" w:type="pct"/>
            <w:shd w:val="clear" w:color="auto" w:fill="FFFFFF" w:themeFill="background1"/>
          </w:tcPr>
          <w:p w14:paraId="15554BC4" w14:textId="3D1995DB" w:rsidR="008273CC" w:rsidRPr="003C376C" w:rsidRDefault="008C2B89" w:rsidP="00427602">
            <w:pPr>
              <w:jc w:val="center"/>
              <w:rPr>
                <w:color w:val="3C4038" w:themeColor="text2" w:themeShade="40"/>
                <w:sz w:val="20"/>
                <w:szCs w:val="20"/>
              </w:rPr>
            </w:pPr>
            <w:r w:rsidRPr="003C376C">
              <w:rPr>
                <w:rFonts w:cstheme="minorHAnsi"/>
                <w:color w:val="3C4038" w:themeColor="text2" w:themeShade="40"/>
                <w:sz w:val="20"/>
                <w:szCs w:val="20"/>
              </w:rPr>
              <w:t>($0.002</w:t>
            </w:r>
            <w:r w:rsidR="00427602">
              <w:rPr>
                <w:rFonts w:cstheme="minorHAnsi"/>
                <w:color w:val="3C4038" w:themeColor="text2" w:themeShade="40"/>
                <w:sz w:val="20"/>
                <w:szCs w:val="20"/>
              </w:rPr>
              <w:t>1</w:t>
            </w:r>
            <w:r w:rsidR="008273CC" w:rsidRPr="003C376C">
              <w:rPr>
                <w:rFonts w:cstheme="minorHAnsi"/>
                <w:color w:val="3C4038" w:themeColor="text2" w:themeShade="40"/>
                <w:sz w:val="20"/>
                <w:szCs w:val="20"/>
              </w:rPr>
              <w:t>)</w:t>
            </w:r>
          </w:p>
        </w:tc>
        <w:tc>
          <w:tcPr>
            <w:tcW w:w="1250" w:type="pct"/>
            <w:shd w:val="clear" w:color="auto" w:fill="FFFFFF" w:themeFill="background1"/>
          </w:tcPr>
          <w:p w14:paraId="044859A0" w14:textId="3879C788" w:rsidR="008273CC" w:rsidRPr="003C376C" w:rsidRDefault="00D928C6" w:rsidP="008273CC">
            <w:pPr>
              <w:jc w:val="center"/>
              <w:rPr>
                <w:color w:val="3C4038" w:themeColor="text2" w:themeShade="40"/>
                <w:sz w:val="20"/>
                <w:szCs w:val="20"/>
              </w:rPr>
            </w:pPr>
            <w:r>
              <w:rPr>
                <w:rFonts w:cstheme="minorHAnsi"/>
                <w:color w:val="3C4038" w:themeColor="text2" w:themeShade="40"/>
                <w:sz w:val="20"/>
                <w:szCs w:val="20"/>
              </w:rPr>
              <w:t>(0.10</w:t>
            </w:r>
            <w:r w:rsidR="008273CC" w:rsidRPr="003C376C">
              <w:rPr>
                <w:rFonts w:cstheme="minorHAnsi"/>
                <w:color w:val="3C4038" w:themeColor="text2" w:themeShade="40"/>
                <w:sz w:val="20"/>
                <w:szCs w:val="20"/>
              </w:rPr>
              <w:t>% of Dollar Value)</w:t>
            </w:r>
          </w:p>
        </w:tc>
      </w:tr>
      <w:tr w:rsidR="003C376C" w:rsidRPr="003C376C" w14:paraId="7C6E67B1" w14:textId="3A5572B1" w:rsidTr="00130D45">
        <w:tc>
          <w:tcPr>
            <w:tcW w:w="516" w:type="pct"/>
            <w:shd w:val="clear" w:color="auto" w:fill="F1F2F0" w:themeFill="text2"/>
          </w:tcPr>
          <w:p w14:paraId="591E59F8" w14:textId="562FED1C" w:rsidR="008273CC" w:rsidRPr="003C376C" w:rsidRDefault="008273CC" w:rsidP="008273CC">
            <w:pPr>
              <w:jc w:val="center"/>
              <w:rPr>
                <w:color w:val="3C4038" w:themeColor="text2" w:themeShade="40"/>
                <w:sz w:val="20"/>
                <w:szCs w:val="20"/>
              </w:rPr>
            </w:pPr>
            <w:r w:rsidRPr="003C376C">
              <w:rPr>
                <w:rFonts w:cstheme="minorHAnsi"/>
                <w:color w:val="3C4038" w:themeColor="text2" w:themeShade="40"/>
                <w:sz w:val="20"/>
                <w:szCs w:val="20"/>
              </w:rPr>
              <w:t>Ab</w:t>
            </w:r>
          </w:p>
        </w:tc>
        <w:tc>
          <w:tcPr>
            <w:tcW w:w="1984" w:type="pct"/>
            <w:shd w:val="clear" w:color="auto" w:fill="F1F2F0" w:themeFill="text2"/>
          </w:tcPr>
          <w:p w14:paraId="7B1DD381" w14:textId="07A83B0B" w:rsidR="008273CC" w:rsidRPr="003C376C" w:rsidRDefault="008273CC" w:rsidP="008273CC">
            <w:pPr>
              <w:rPr>
                <w:color w:val="3C4038" w:themeColor="text2" w:themeShade="40"/>
                <w:sz w:val="20"/>
                <w:szCs w:val="20"/>
              </w:rPr>
            </w:pPr>
            <w:r w:rsidRPr="003C376C">
              <w:rPr>
                <w:rFonts w:cstheme="minorHAnsi"/>
                <w:color w:val="3C4038" w:themeColor="text2" w:themeShade="40"/>
                <w:sz w:val="20"/>
                <w:szCs w:val="20"/>
              </w:rPr>
              <w:t>Adds Liquidity, Non-Displayed Order (Tape B)</w:t>
            </w:r>
          </w:p>
        </w:tc>
        <w:tc>
          <w:tcPr>
            <w:tcW w:w="1250" w:type="pct"/>
            <w:shd w:val="clear" w:color="auto" w:fill="F1F2F0" w:themeFill="text2"/>
          </w:tcPr>
          <w:p w14:paraId="4247E896" w14:textId="2B492915" w:rsidR="008273CC" w:rsidRPr="003C376C" w:rsidRDefault="008C2B89" w:rsidP="00427602">
            <w:pPr>
              <w:jc w:val="center"/>
              <w:rPr>
                <w:color w:val="3C4038" w:themeColor="text2" w:themeShade="40"/>
                <w:sz w:val="20"/>
                <w:szCs w:val="20"/>
              </w:rPr>
            </w:pPr>
            <w:r w:rsidRPr="003C376C">
              <w:rPr>
                <w:rFonts w:cstheme="minorHAnsi"/>
                <w:color w:val="3C4038" w:themeColor="text2" w:themeShade="40"/>
                <w:sz w:val="20"/>
                <w:szCs w:val="20"/>
              </w:rPr>
              <w:t>($0.002</w:t>
            </w:r>
            <w:r w:rsidR="00427602">
              <w:rPr>
                <w:rFonts w:cstheme="minorHAnsi"/>
                <w:color w:val="3C4038" w:themeColor="text2" w:themeShade="40"/>
                <w:sz w:val="20"/>
                <w:szCs w:val="20"/>
              </w:rPr>
              <w:t>1</w:t>
            </w:r>
            <w:r w:rsidR="008273CC" w:rsidRPr="003C376C">
              <w:rPr>
                <w:rFonts w:cstheme="minorHAnsi"/>
                <w:color w:val="3C4038" w:themeColor="text2" w:themeShade="40"/>
                <w:sz w:val="20"/>
                <w:szCs w:val="20"/>
              </w:rPr>
              <w:t>)</w:t>
            </w:r>
          </w:p>
        </w:tc>
        <w:tc>
          <w:tcPr>
            <w:tcW w:w="1250" w:type="pct"/>
            <w:shd w:val="clear" w:color="auto" w:fill="F1F2F0" w:themeFill="text2"/>
          </w:tcPr>
          <w:p w14:paraId="5BB28B8C" w14:textId="209F3F40" w:rsidR="008273CC" w:rsidRPr="003C376C" w:rsidRDefault="00D928C6" w:rsidP="008273CC">
            <w:pPr>
              <w:jc w:val="center"/>
              <w:rPr>
                <w:color w:val="3C4038" w:themeColor="text2" w:themeShade="40"/>
                <w:sz w:val="20"/>
                <w:szCs w:val="20"/>
              </w:rPr>
            </w:pPr>
            <w:r>
              <w:rPr>
                <w:rFonts w:cstheme="minorHAnsi"/>
                <w:color w:val="3C4038" w:themeColor="text2" w:themeShade="40"/>
                <w:sz w:val="20"/>
                <w:szCs w:val="20"/>
              </w:rPr>
              <w:t>(0.10</w:t>
            </w:r>
            <w:r w:rsidR="008273CC" w:rsidRPr="003C376C">
              <w:rPr>
                <w:rFonts w:cstheme="minorHAnsi"/>
                <w:color w:val="3C4038" w:themeColor="text2" w:themeShade="40"/>
                <w:sz w:val="20"/>
                <w:szCs w:val="20"/>
              </w:rPr>
              <w:t>% of Dollar Value)</w:t>
            </w:r>
          </w:p>
        </w:tc>
      </w:tr>
      <w:tr w:rsidR="003C376C" w:rsidRPr="003C376C" w14:paraId="61A1500F" w14:textId="535A8738" w:rsidTr="00130D45">
        <w:tc>
          <w:tcPr>
            <w:tcW w:w="516" w:type="pct"/>
            <w:shd w:val="clear" w:color="auto" w:fill="FFFFFF" w:themeFill="background1"/>
          </w:tcPr>
          <w:p w14:paraId="328CE105" w14:textId="487D6846" w:rsidR="008273CC" w:rsidRPr="003C376C" w:rsidRDefault="008273CC" w:rsidP="008273CC">
            <w:pPr>
              <w:jc w:val="center"/>
              <w:rPr>
                <w:color w:val="3C4038" w:themeColor="text2" w:themeShade="40"/>
                <w:sz w:val="20"/>
                <w:szCs w:val="20"/>
              </w:rPr>
            </w:pPr>
            <w:r w:rsidRPr="003C376C">
              <w:rPr>
                <w:rFonts w:cstheme="minorHAnsi"/>
                <w:color w:val="3C4038" w:themeColor="text2" w:themeShade="40"/>
                <w:sz w:val="20"/>
                <w:szCs w:val="20"/>
              </w:rPr>
              <w:t>Ac</w:t>
            </w:r>
          </w:p>
        </w:tc>
        <w:tc>
          <w:tcPr>
            <w:tcW w:w="1984" w:type="pct"/>
            <w:shd w:val="clear" w:color="auto" w:fill="FFFFFF" w:themeFill="background1"/>
          </w:tcPr>
          <w:p w14:paraId="53025C37" w14:textId="0E1611A3" w:rsidR="008273CC" w:rsidRPr="003C376C" w:rsidRDefault="008273CC" w:rsidP="008273CC">
            <w:pPr>
              <w:rPr>
                <w:color w:val="3C4038" w:themeColor="text2" w:themeShade="40"/>
                <w:sz w:val="20"/>
                <w:szCs w:val="20"/>
              </w:rPr>
            </w:pPr>
            <w:r w:rsidRPr="003C376C">
              <w:rPr>
                <w:rFonts w:cstheme="minorHAnsi"/>
                <w:color w:val="3C4038" w:themeColor="text2" w:themeShade="40"/>
                <w:sz w:val="20"/>
                <w:szCs w:val="20"/>
              </w:rPr>
              <w:t>Adds Liquidity, Non-Displayed Order (Tape C)</w:t>
            </w:r>
          </w:p>
        </w:tc>
        <w:tc>
          <w:tcPr>
            <w:tcW w:w="1250" w:type="pct"/>
            <w:shd w:val="clear" w:color="auto" w:fill="FFFFFF" w:themeFill="background1"/>
          </w:tcPr>
          <w:p w14:paraId="1C9880E6" w14:textId="6904F0EF" w:rsidR="008273CC" w:rsidRPr="003C376C" w:rsidRDefault="008C2B89" w:rsidP="00427602">
            <w:pPr>
              <w:jc w:val="center"/>
              <w:rPr>
                <w:color w:val="3C4038" w:themeColor="text2" w:themeShade="40"/>
                <w:sz w:val="20"/>
                <w:szCs w:val="20"/>
              </w:rPr>
            </w:pPr>
            <w:r w:rsidRPr="003C376C">
              <w:rPr>
                <w:rFonts w:cstheme="minorHAnsi"/>
                <w:color w:val="3C4038" w:themeColor="text2" w:themeShade="40"/>
                <w:sz w:val="20"/>
                <w:szCs w:val="20"/>
              </w:rPr>
              <w:t>($0.002</w:t>
            </w:r>
            <w:r w:rsidR="00427602">
              <w:rPr>
                <w:rFonts w:cstheme="minorHAnsi"/>
                <w:color w:val="3C4038" w:themeColor="text2" w:themeShade="40"/>
                <w:sz w:val="20"/>
                <w:szCs w:val="20"/>
              </w:rPr>
              <w:t>1</w:t>
            </w:r>
            <w:r w:rsidR="008273CC" w:rsidRPr="003C376C">
              <w:rPr>
                <w:rFonts w:cstheme="minorHAnsi"/>
                <w:color w:val="3C4038" w:themeColor="text2" w:themeShade="40"/>
                <w:sz w:val="20"/>
                <w:szCs w:val="20"/>
              </w:rPr>
              <w:t>)</w:t>
            </w:r>
          </w:p>
        </w:tc>
        <w:tc>
          <w:tcPr>
            <w:tcW w:w="1250" w:type="pct"/>
            <w:shd w:val="clear" w:color="auto" w:fill="FFFFFF" w:themeFill="background1"/>
          </w:tcPr>
          <w:p w14:paraId="2195C602" w14:textId="5F8BD64F" w:rsidR="008273CC" w:rsidRPr="003C376C" w:rsidRDefault="00D928C6" w:rsidP="008273CC">
            <w:pPr>
              <w:jc w:val="center"/>
              <w:rPr>
                <w:color w:val="3C4038" w:themeColor="text2" w:themeShade="40"/>
                <w:sz w:val="20"/>
                <w:szCs w:val="20"/>
              </w:rPr>
            </w:pPr>
            <w:r>
              <w:rPr>
                <w:rFonts w:cstheme="minorHAnsi"/>
                <w:color w:val="3C4038" w:themeColor="text2" w:themeShade="40"/>
                <w:sz w:val="20"/>
                <w:szCs w:val="20"/>
              </w:rPr>
              <w:t>(0.10</w:t>
            </w:r>
            <w:r w:rsidR="008273CC" w:rsidRPr="003C376C">
              <w:rPr>
                <w:rFonts w:cstheme="minorHAnsi"/>
                <w:color w:val="3C4038" w:themeColor="text2" w:themeShade="40"/>
                <w:sz w:val="20"/>
                <w:szCs w:val="20"/>
              </w:rPr>
              <w:t>% of Dollar Value)</w:t>
            </w:r>
          </w:p>
        </w:tc>
      </w:tr>
      <w:tr w:rsidR="008B0607" w:rsidRPr="003C376C" w14:paraId="3948CECA" w14:textId="77777777" w:rsidTr="00130D45">
        <w:tc>
          <w:tcPr>
            <w:tcW w:w="516" w:type="pct"/>
            <w:shd w:val="clear" w:color="auto" w:fill="F1F2F0" w:themeFill="text2"/>
          </w:tcPr>
          <w:p w14:paraId="65EFC50E" w14:textId="7584D1AA" w:rsidR="008B0607" w:rsidRPr="003C376C" w:rsidRDefault="008B0607" w:rsidP="008B0607">
            <w:pPr>
              <w:jc w:val="center"/>
              <w:rPr>
                <w:rFonts w:cstheme="minorHAnsi"/>
                <w:color w:val="3C4038" w:themeColor="text2" w:themeShade="40"/>
                <w:sz w:val="20"/>
                <w:szCs w:val="20"/>
              </w:rPr>
            </w:pPr>
            <w:proofErr w:type="spellStart"/>
            <w:r>
              <w:rPr>
                <w:rFonts w:cstheme="minorHAnsi"/>
                <w:color w:val="3C4038" w:themeColor="text2" w:themeShade="40"/>
                <w:sz w:val="20"/>
                <w:szCs w:val="20"/>
              </w:rPr>
              <w:t>Ap</w:t>
            </w:r>
            <w:proofErr w:type="spellEnd"/>
          </w:p>
        </w:tc>
        <w:tc>
          <w:tcPr>
            <w:tcW w:w="1984" w:type="pct"/>
            <w:shd w:val="clear" w:color="auto" w:fill="F1F2F0" w:themeFill="text2"/>
          </w:tcPr>
          <w:p w14:paraId="3A679875" w14:textId="5EDBA880" w:rsidR="008B0607" w:rsidRPr="003C376C" w:rsidRDefault="008B0607" w:rsidP="008B0607">
            <w:pPr>
              <w:rPr>
                <w:rFonts w:cstheme="minorHAnsi"/>
                <w:color w:val="3C4038" w:themeColor="text2" w:themeShade="40"/>
                <w:sz w:val="20"/>
                <w:szCs w:val="20"/>
              </w:rPr>
            </w:pPr>
            <w:r w:rsidRPr="008B0607">
              <w:rPr>
                <w:rFonts w:cstheme="minorHAnsi"/>
                <w:color w:val="3C4038" w:themeColor="text2" w:themeShade="40"/>
                <w:sz w:val="20"/>
                <w:szCs w:val="20"/>
              </w:rPr>
              <w:t>Adds Liquidity and Executes at the Midpoint, Non-Displayed Midpoint Peg Order (All Tapes)</w:t>
            </w:r>
          </w:p>
        </w:tc>
        <w:tc>
          <w:tcPr>
            <w:tcW w:w="1250" w:type="pct"/>
            <w:shd w:val="clear" w:color="auto" w:fill="F1F2F0" w:themeFill="text2"/>
          </w:tcPr>
          <w:p w14:paraId="2BDC1224" w14:textId="77777777" w:rsidR="008B0607" w:rsidRPr="008B0607" w:rsidRDefault="008B0607" w:rsidP="008B0607">
            <w:pPr>
              <w:jc w:val="center"/>
              <w:rPr>
                <w:rFonts w:cstheme="minorHAnsi"/>
                <w:color w:val="3C4038" w:themeColor="text2" w:themeShade="40"/>
                <w:sz w:val="20"/>
                <w:szCs w:val="20"/>
              </w:rPr>
            </w:pPr>
          </w:p>
          <w:p w14:paraId="33508956" w14:textId="34B0A82D" w:rsidR="008B0607" w:rsidRPr="003C376C" w:rsidRDefault="008B0607" w:rsidP="008B0607">
            <w:pPr>
              <w:jc w:val="center"/>
              <w:rPr>
                <w:rFonts w:cstheme="minorHAnsi"/>
                <w:color w:val="3C4038" w:themeColor="text2" w:themeShade="40"/>
                <w:sz w:val="20"/>
                <w:szCs w:val="20"/>
              </w:rPr>
            </w:pPr>
            <w:r w:rsidRPr="008B0607">
              <w:rPr>
                <w:rFonts w:cstheme="minorHAnsi"/>
                <w:color w:val="3C4038" w:themeColor="text2" w:themeShade="40"/>
                <w:sz w:val="20"/>
                <w:szCs w:val="20"/>
              </w:rPr>
              <w:t>($0.0021)</w:t>
            </w:r>
          </w:p>
        </w:tc>
        <w:tc>
          <w:tcPr>
            <w:tcW w:w="1250" w:type="pct"/>
            <w:shd w:val="clear" w:color="auto" w:fill="F1F2F0" w:themeFill="text2"/>
          </w:tcPr>
          <w:p w14:paraId="7830898E" w14:textId="77777777" w:rsidR="008B0607" w:rsidRPr="008B0607" w:rsidRDefault="008B0607" w:rsidP="008B0607">
            <w:pPr>
              <w:jc w:val="center"/>
              <w:rPr>
                <w:rFonts w:cstheme="minorHAnsi"/>
                <w:color w:val="3C4038" w:themeColor="text2" w:themeShade="40"/>
                <w:sz w:val="20"/>
                <w:szCs w:val="20"/>
              </w:rPr>
            </w:pPr>
          </w:p>
          <w:p w14:paraId="33B17100" w14:textId="785B0F81" w:rsidR="008B0607" w:rsidRPr="003C376C" w:rsidRDefault="00D928C6" w:rsidP="008B0607">
            <w:pPr>
              <w:jc w:val="center"/>
              <w:rPr>
                <w:rFonts w:cstheme="minorHAnsi"/>
                <w:color w:val="3C4038" w:themeColor="text2" w:themeShade="40"/>
                <w:sz w:val="20"/>
                <w:szCs w:val="20"/>
              </w:rPr>
            </w:pPr>
            <w:r>
              <w:rPr>
                <w:rFonts w:cstheme="minorHAnsi"/>
                <w:color w:val="3C4038" w:themeColor="text2" w:themeShade="40"/>
                <w:sz w:val="20"/>
                <w:szCs w:val="20"/>
              </w:rPr>
              <w:t>(0.10</w:t>
            </w:r>
            <w:r w:rsidR="008B0607" w:rsidRPr="008B0607">
              <w:rPr>
                <w:rFonts w:cstheme="minorHAnsi"/>
                <w:color w:val="3C4038" w:themeColor="text2" w:themeShade="40"/>
                <w:sz w:val="20"/>
                <w:szCs w:val="20"/>
              </w:rPr>
              <w:t>% of Dollar Value)</w:t>
            </w:r>
          </w:p>
        </w:tc>
      </w:tr>
      <w:tr w:rsidR="003C376C" w:rsidRPr="003C376C" w14:paraId="421267CD" w14:textId="77777777" w:rsidTr="00130D45">
        <w:tc>
          <w:tcPr>
            <w:tcW w:w="516" w:type="pct"/>
            <w:shd w:val="clear" w:color="auto" w:fill="FFFFFF" w:themeFill="background1"/>
          </w:tcPr>
          <w:p w14:paraId="3E28C128" w14:textId="144ECF38" w:rsidR="00FC02F1" w:rsidRPr="003C376C" w:rsidRDefault="00FC02F1" w:rsidP="00FC02F1">
            <w:pPr>
              <w:jc w:val="center"/>
              <w:rPr>
                <w:rFonts w:cstheme="minorHAnsi"/>
                <w:color w:val="3C4038" w:themeColor="text2" w:themeShade="40"/>
                <w:sz w:val="20"/>
                <w:szCs w:val="20"/>
              </w:rPr>
            </w:pPr>
            <w:proofErr w:type="spellStart"/>
            <w:r w:rsidRPr="003C376C">
              <w:rPr>
                <w:rFonts w:cstheme="minorHAnsi"/>
                <w:color w:val="3C4038" w:themeColor="text2" w:themeShade="40"/>
                <w:sz w:val="20"/>
                <w:szCs w:val="20"/>
              </w:rPr>
              <w:t>Ar</w:t>
            </w:r>
            <w:proofErr w:type="spellEnd"/>
          </w:p>
        </w:tc>
        <w:tc>
          <w:tcPr>
            <w:tcW w:w="1984" w:type="pct"/>
            <w:shd w:val="clear" w:color="auto" w:fill="FFFFFF" w:themeFill="background1"/>
          </w:tcPr>
          <w:p w14:paraId="2E705875" w14:textId="77777777" w:rsidR="00FC02F1" w:rsidRPr="003C376C" w:rsidRDefault="00FC02F1" w:rsidP="00FC02F1">
            <w:pPr>
              <w:rPr>
                <w:rFonts w:cstheme="minorHAnsi"/>
                <w:color w:val="3C4038" w:themeColor="text2" w:themeShade="40"/>
                <w:sz w:val="20"/>
                <w:szCs w:val="20"/>
              </w:rPr>
            </w:pPr>
            <w:r w:rsidRPr="003C376C">
              <w:rPr>
                <w:rFonts w:cstheme="minorHAnsi"/>
                <w:color w:val="3C4038" w:themeColor="text2" w:themeShade="40"/>
                <w:sz w:val="20"/>
                <w:szCs w:val="20"/>
              </w:rPr>
              <w:t>Retail Order, Adds Liquidity, Non-Displayed Order (All Tapes)</w:t>
            </w:r>
          </w:p>
          <w:p w14:paraId="3C86FEBD" w14:textId="77777777" w:rsidR="00FC02F1" w:rsidRPr="003C376C" w:rsidRDefault="00FC02F1" w:rsidP="00FC02F1">
            <w:pPr>
              <w:rPr>
                <w:rFonts w:cstheme="minorHAnsi"/>
                <w:color w:val="3C4038" w:themeColor="text2" w:themeShade="40"/>
                <w:sz w:val="20"/>
                <w:szCs w:val="20"/>
              </w:rPr>
            </w:pPr>
          </w:p>
        </w:tc>
        <w:tc>
          <w:tcPr>
            <w:tcW w:w="1250" w:type="pct"/>
            <w:shd w:val="clear" w:color="auto" w:fill="FFFFFF" w:themeFill="background1"/>
          </w:tcPr>
          <w:p w14:paraId="21E75F05" w14:textId="1F075E4E" w:rsidR="00FC02F1" w:rsidRPr="003C376C" w:rsidRDefault="00FC02F1" w:rsidP="00427602">
            <w:pPr>
              <w:jc w:val="center"/>
              <w:rPr>
                <w:rFonts w:cstheme="minorHAnsi"/>
                <w:color w:val="3C4038" w:themeColor="text2" w:themeShade="40"/>
                <w:sz w:val="20"/>
                <w:szCs w:val="20"/>
              </w:rPr>
            </w:pPr>
            <w:r w:rsidRPr="003C376C">
              <w:rPr>
                <w:rFonts w:cstheme="minorHAnsi"/>
                <w:color w:val="3C4038" w:themeColor="text2" w:themeShade="40"/>
                <w:sz w:val="20"/>
                <w:szCs w:val="20"/>
              </w:rPr>
              <w:t>($0.002</w:t>
            </w:r>
            <w:r w:rsidR="00427602">
              <w:rPr>
                <w:rFonts w:cstheme="minorHAnsi"/>
                <w:color w:val="3C4038" w:themeColor="text2" w:themeShade="40"/>
                <w:sz w:val="20"/>
                <w:szCs w:val="20"/>
              </w:rPr>
              <w:t>1</w:t>
            </w:r>
            <w:r w:rsidRPr="003C376C">
              <w:rPr>
                <w:rFonts w:cstheme="minorHAnsi"/>
                <w:color w:val="3C4038" w:themeColor="text2" w:themeShade="40"/>
                <w:sz w:val="20"/>
                <w:szCs w:val="20"/>
              </w:rPr>
              <w:t>)</w:t>
            </w:r>
          </w:p>
        </w:tc>
        <w:tc>
          <w:tcPr>
            <w:tcW w:w="1250" w:type="pct"/>
            <w:shd w:val="clear" w:color="auto" w:fill="FFFFFF" w:themeFill="background1"/>
          </w:tcPr>
          <w:p w14:paraId="44350BCC" w14:textId="0B90CBEF" w:rsidR="00FC02F1" w:rsidRPr="003C376C" w:rsidRDefault="00D928C6" w:rsidP="00FC02F1">
            <w:pPr>
              <w:jc w:val="center"/>
              <w:rPr>
                <w:rFonts w:cstheme="minorHAnsi"/>
                <w:color w:val="3C4038" w:themeColor="text2" w:themeShade="40"/>
                <w:sz w:val="20"/>
                <w:szCs w:val="20"/>
              </w:rPr>
            </w:pPr>
            <w:r>
              <w:rPr>
                <w:rFonts w:cstheme="minorHAnsi"/>
                <w:color w:val="3C4038" w:themeColor="text2" w:themeShade="40"/>
                <w:sz w:val="20"/>
                <w:szCs w:val="20"/>
              </w:rPr>
              <w:t>(0.10</w:t>
            </w:r>
            <w:r w:rsidR="00FC02F1" w:rsidRPr="003C376C">
              <w:rPr>
                <w:rFonts w:cstheme="minorHAnsi"/>
                <w:color w:val="3C4038" w:themeColor="text2" w:themeShade="40"/>
                <w:sz w:val="20"/>
                <w:szCs w:val="20"/>
              </w:rPr>
              <w:t>% of Dollar Value)</w:t>
            </w:r>
          </w:p>
        </w:tc>
      </w:tr>
      <w:tr w:rsidR="003C376C" w:rsidRPr="003C376C" w14:paraId="219F3867" w14:textId="7B9CA129" w:rsidTr="00130D45">
        <w:trPr>
          <w:trHeight w:val="458"/>
        </w:trPr>
        <w:tc>
          <w:tcPr>
            <w:tcW w:w="516" w:type="pct"/>
            <w:shd w:val="clear" w:color="auto" w:fill="F1F2F0" w:themeFill="text2"/>
          </w:tcPr>
          <w:p w14:paraId="04894816" w14:textId="26E93845" w:rsidR="008273CC" w:rsidRPr="003C376C" w:rsidRDefault="008273CC" w:rsidP="008273CC">
            <w:pPr>
              <w:jc w:val="center"/>
              <w:rPr>
                <w:rFonts w:cstheme="minorHAnsi"/>
                <w:color w:val="3C4038" w:themeColor="text2" w:themeShade="40"/>
                <w:sz w:val="20"/>
                <w:szCs w:val="20"/>
              </w:rPr>
            </w:pPr>
            <w:r w:rsidRPr="003C376C">
              <w:rPr>
                <w:rFonts w:cstheme="minorHAnsi"/>
                <w:color w:val="3C4038" w:themeColor="text2" w:themeShade="40"/>
                <w:sz w:val="20"/>
                <w:szCs w:val="20"/>
              </w:rPr>
              <w:t>O</w:t>
            </w:r>
          </w:p>
        </w:tc>
        <w:tc>
          <w:tcPr>
            <w:tcW w:w="1984" w:type="pct"/>
            <w:shd w:val="clear" w:color="auto" w:fill="F1F2F0" w:themeFill="text2"/>
          </w:tcPr>
          <w:p w14:paraId="42DF9E20" w14:textId="1618264E" w:rsidR="008273CC" w:rsidRPr="003C376C" w:rsidRDefault="008273CC" w:rsidP="00733C08">
            <w:pPr>
              <w:widowControl w:val="0"/>
              <w:rPr>
                <w:rFonts w:cstheme="minorHAnsi"/>
                <w:color w:val="3C4038" w:themeColor="text2" w:themeShade="40"/>
                <w:sz w:val="20"/>
                <w:szCs w:val="20"/>
              </w:rPr>
            </w:pPr>
            <w:r w:rsidRPr="003C376C">
              <w:rPr>
                <w:rFonts w:cstheme="minorHAnsi"/>
                <w:color w:val="3C4038" w:themeColor="text2" w:themeShade="40"/>
                <w:sz w:val="20"/>
                <w:szCs w:val="20"/>
              </w:rPr>
              <w:t>Opening/Re-Opening Process</w:t>
            </w:r>
          </w:p>
        </w:tc>
        <w:tc>
          <w:tcPr>
            <w:tcW w:w="1250" w:type="pct"/>
            <w:shd w:val="clear" w:color="auto" w:fill="F1F2F0" w:themeFill="text2"/>
          </w:tcPr>
          <w:p w14:paraId="17C211C3" w14:textId="6581D15A" w:rsidR="008273CC" w:rsidRPr="003C376C" w:rsidRDefault="008273CC" w:rsidP="008273CC">
            <w:pPr>
              <w:jc w:val="center"/>
              <w:rPr>
                <w:rFonts w:cstheme="minorHAnsi"/>
                <w:color w:val="3C4038" w:themeColor="text2" w:themeShade="40"/>
                <w:sz w:val="20"/>
                <w:szCs w:val="20"/>
              </w:rPr>
            </w:pPr>
            <w:r w:rsidRPr="003C376C">
              <w:rPr>
                <w:rFonts w:cstheme="minorHAnsi"/>
                <w:color w:val="3C4038" w:themeColor="text2" w:themeShade="40"/>
                <w:sz w:val="20"/>
                <w:szCs w:val="20"/>
              </w:rPr>
              <w:t>$0.00</w:t>
            </w:r>
          </w:p>
        </w:tc>
        <w:tc>
          <w:tcPr>
            <w:tcW w:w="1250" w:type="pct"/>
            <w:shd w:val="clear" w:color="auto" w:fill="F1F2F0" w:themeFill="text2"/>
          </w:tcPr>
          <w:p w14:paraId="0B301B0B" w14:textId="4049476E" w:rsidR="008273CC" w:rsidRPr="003C376C" w:rsidRDefault="008273CC" w:rsidP="008273CC">
            <w:pPr>
              <w:jc w:val="center"/>
              <w:rPr>
                <w:rFonts w:cstheme="minorHAnsi"/>
                <w:color w:val="3C4038" w:themeColor="text2" w:themeShade="40"/>
                <w:sz w:val="20"/>
                <w:szCs w:val="20"/>
              </w:rPr>
            </w:pPr>
            <w:r w:rsidRPr="003C376C">
              <w:rPr>
                <w:rFonts w:cstheme="minorHAnsi"/>
                <w:color w:val="3C4038" w:themeColor="text2" w:themeShade="40"/>
                <w:sz w:val="20"/>
                <w:szCs w:val="20"/>
              </w:rPr>
              <w:t>$0.00</w:t>
            </w:r>
          </w:p>
        </w:tc>
      </w:tr>
      <w:tr w:rsidR="003C376C" w:rsidRPr="003C376C" w14:paraId="609F9D61" w14:textId="6F9912A7" w:rsidTr="00130D45">
        <w:tc>
          <w:tcPr>
            <w:tcW w:w="516" w:type="pct"/>
            <w:shd w:val="clear" w:color="auto" w:fill="FFFFFF" w:themeFill="background1"/>
          </w:tcPr>
          <w:p w14:paraId="74439B09" w14:textId="564629B7" w:rsidR="008273CC" w:rsidRPr="003C376C" w:rsidRDefault="008273CC" w:rsidP="008273CC">
            <w:pPr>
              <w:jc w:val="center"/>
              <w:rPr>
                <w:rFonts w:cstheme="minorHAnsi"/>
                <w:color w:val="3C4038" w:themeColor="text2" w:themeShade="40"/>
                <w:sz w:val="20"/>
                <w:szCs w:val="20"/>
              </w:rPr>
            </w:pPr>
            <w:r w:rsidRPr="003C376C">
              <w:rPr>
                <w:rFonts w:cstheme="minorHAnsi"/>
                <w:color w:val="3C4038" w:themeColor="text2" w:themeShade="40"/>
                <w:sz w:val="20"/>
                <w:szCs w:val="20"/>
              </w:rPr>
              <w:t>RA</w:t>
            </w:r>
          </w:p>
        </w:tc>
        <w:tc>
          <w:tcPr>
            <w:tcW w:w="1984" w:type="pct"/>
            <w:shd w:val="clear" w:color="auto" w:fill="FFFFFF" w:themeFill="background1"/>
          </w:tcPr>
          <w:p w14:paraId="5E6D7286" w14:textId="5CBB3AC1" w:rsidR="008273CC" w:rsidRPr="003C376C" w:rsidRDefault="008273CC" w:rsidP="008273CC">
            <w:pPr>
              <w:rPr>
                <w:rFonts w:cstheme="minorHAnsi"/>
                <w:color w:val="3C4038" w:themeColor="text2" w:themeShade="40"/>
                <w:sz w:val="20"/>
                <w:szCs w:val="20"/>
              </w:rPr>
            </w:pPr>
            <w:r w:rsidRPr="003C376C">
              <w:rPr>
                <w:rFonts w:cstheme="minorHAnsi"/>
                <w:color w:val="3C4038" w:themeColor="text2" w:themeShade="40"/>
                <w:sz w:val="20"/>
                <w:szCs w:val="20"/>
              </w:rPr>
              <w:t>Removes Liquidity, Displayed Order (Tape A)</w:t>
            </w:r>
          </w:p>
        </w:tc>
        <w:tc>
          <w:tcPr>
            <w:tcW w:w="1250" w:type="pct"/>
            <w:shd w:val="clear" w:color="auto" w:fill="FFFFFF" w:themeFill="background1"/>
          </w:tcPr>
          <w:p w14:paraId="27CF6C9A" w14:textId="0D28B41C" w:rsidR="008273CC" w:rsidRPr="003C376C" w:rsidRDefault="008273CC" w:rsidP="008273CC">
            <w:pPr>
              <w:jc w:val="center"/>
              <w:rPr>
                <w:rFonts w:cstheme="minorHAnsi"/>
                <w:color w:val="3C4038" w:themeColor="text2" w:themeShade="40"/>
                <w:sz w:val="20"/>
                <w:szCs w:val="20"/>
              </w:rPr>
            </w:pPr>
            <w:r w:rsidRPr="003C376C">
              <w:rPr>
                <w:rFonts w:cstheme="minorHAnsi"/>
                <w:color w:val="3C4038" w:themeColor="text2" w:themeShade="40"/>
                <w:sz w:val="20"/>
                <w:szCs w:val="20"/>
              </w:rPr>
              <w:t>$0.002</w:t>
            </w:r>
            <w:r w:rsidR="00427602">
              <w:rPr>
                <w:rFonts w:cstheme="minorHAnsi"/>
                <w:color w:val="3C4038" w:themeColor="text2" w:themeShade="40"/>
                <w:sz w:val="20"/>
                <w:szCs w:val="20"/>
              </w:rPr>
              <w:t>9</w:t>
            </w:r>
          </w:p>
        </w:tc>
        <w:tc>
          <w:tcPr>
            <w:tcW w:w="1250" w:type="pct"/>
            <w:shd w:val="clear" w:color="auto" w:fill="FFFFFF" w:themeFill="background1"/>
          </w:tcPr>
          <w:p w14:paraId="5B861554" w14:textId="14F01236" w:rsidR="008273CC" w:rsidRPr="003C376C" w:rsidRDefault="00D928C6" w:rsidP="008273CC">
            <w:pPr>
              <w:jc w:val="center"/>
              <w:rPr>
                <w:rFonts w:cstheme="minorHAnsi"/>
                <w:color w:val="3C4038" w:themeColor="text2" w:themeShade="40"/>
                <w:sz w:val="20"/>
                <w:szCs w:val="20"/>
              </w:rPr>
            </w:pPr>
            <w:r>
              <w:rPr>
                <w:rFonts w:cstheme="minorHAnsi"/>
                <w:color w:val="3C4038" w:themeColor="text2" w:themeShade="40"/>
                <w:sz w:val="20"/>
                <w:szCs w:val="20"/>
              </w:rPr>
              <w:t>0.20</w:t>
            </w:r>
            <w:r w:rsidR="00DD2ED3">
              <w:rPr>
                <w:rFonts w:cstheme="minorHAnsi"/>
                <w:color w:val="3C4038" w:themeColor="text2" w:themeShade="40"/>
                <w:sz w:val="20"/>
                <w:szCs w:val="20"/>
              </w:rPr>
              <w:t>%</w:t>
            </w:r>
            <w:bookmarkStart w:id="7" w:name="_GoBack"/>
            <w:bookmarkEnd w:id="7"/>
            <w:r w:rsidR="008273CC" w:rsidRPr="003C376C">
              <w:rPr>
                <w:rFonts w:cstheme="minorHAnsi"/>
                <w:color w:val="3C4038" w:themeColor="text2" w:themeShade="40"/>
                <w:sz w:val="20"/>
                <w:szCs w:val="20"/>
              </w:rPr>
              <w:t xml:space="preserve"> of Dollar Value</w:t>
            </w:r>
          </w:p>
        </w:tc>
      </w:tr>
      <w:tr w:rsidR="003C376C" w:rsidRPr="003C376C" w14:paraId="0F8AF0CE" w14:textId="43B4C877" w:rsidTr="00130D45">
        <w:tc>
          <w:tcPr>
            <w:tcW w:w="516" w:type="pct"/>
            <w:shd w:val="clear" w:color="auto" w:fill="F1F2F0" w:themeFill="text2"/>
          </w:tcPr>
          <w:p w14:paraId="3B503841" w14:textId="13ABADFA" w:rsidR="008273CC" w:rsidRPr="003C376C" w:rsidRDefault="008273CC" w:rsidP="008273CC">
            <w:pPr>
              <w:jc w:val="center"/>
              <w:rPr>
                <w:color w:val="3C4038" w:themeColor="text2" w:themeShade="40"/>
                <w:sz w:val="20"/>
                <w:szCs w:val="20"/>
              </w:rPr>
            </w:pPr>
            <w:r w:rsidRPr="003C376C">
              <w:rPr>
                <w:rFonts w:cstheme="minorHAnsi"/>
                <w:color w:val="3C4038" w:themeColor="text2" w:themeShade="40"/>
                <w:sz w:val="20"/>
                <w:szCs w:val="20"/>
              </w:rPr>
              <w:t>RB</w:t>
            </w:r>
          </w:p>
        </w:tc>
        <w:tc>
          <w:tcPr>
            <w:tcW w:w="1984" w:type="pct"/>
            <w:shd w:val="clear" w:color="auto" w:fill="F1F2F0" w:themeFill="text2"/>
          </w:tcPr>
          <w:p w14:paraId="097B6131" w14:textId="3C3DF8CF" w:rsidR="008273CC" w:rsidRPr="003C376C" w:rsidRDefault="008273CC" w:rsidP="008273CC">
            <w:pPr>
              <w:rPr>
                <w:color w:val="3C4038" w:themeColor="text2" w:themeShade="40"/>
                <w:sz w:val="20"/>
                <w:szCs w:val="20"/>
              </w:rPr>
            </w:pPr>
            <w:r w:rsidRPr="003C376C">
              <w:rPr>
                <w:rFonts w:cstheme="minorHAnsi"/>
                <w:color w:val="3C4038" w:themeColor="text2" w:themeShade="40"/>
                <w:sz w:val="20"/>
                <w:szCs w:val="20"/>
              </w:rPr>
              <w:t>Removes Liquidity, Displayed Order (Tape B)</w:t>
            </w:r>
          </w:p>
        </w:tc>
        <w:tc>
          <w:tcPr>
            <w:tcW w:w="1250" w:type="pct"/>
            <w:shd w:val="clear" w:color="auto" w:fill="F1F2F0" w:themeFill="text2"/>
          </w:tcPr>
          <w:p w14:paraId="5D4C3C23" w14:textId="4D4C4431" w:rsidR="008273CC" w:rsidRPr="003C376C" w:rsidRDefault="008273CC" w:rsidP="008273CC">
            <w:pPr>
              <w:jc w:val="center"/>
              <w:rPr>
                <w:color w:val="3C4038" w:themeColor="text2" w:themeShade="40"/>
                <w:sz w:val="20"/>
                <w:szCs w:val="20"/>
              </w:rPr>
            </w:pPr>
            <w:r w:rsidRPr="003C376C">
              <w:rPr>
                <w:rFonts w:cstheme="minorHAnsi"/>
                <w:color w:val="3C4038" w:themeColor="text2" w:themeShade="40"/>
                <w:sz w:val="20"/>
                <w:szCs w:val="20"/>
              </w:rPr>
              <w:t>$0.002</w:t>
            </w:r>
            <w:r w:rsidR="00427602">
              <w:rPr>
                <w:rFonts w:cstheme="minorHAnsi"/>
                <w:color w:val="3C4038" w:themeColor="text2" w:themeShade="40"/>
                <w:sz w:val="20"/>
                <w:szCs w:val="20"/>
              </w:rPr>
              <w:t>9</w:t>
            </w:r>
          </w:p>
        </w:tc>
        <w:tc>
          <w:tcPr>
            <w:tcW w:w="1250" w:type="pct"/>
            <w:shd w:val="clear" w:color="auto" w:fill="F1F2F0" w:themeFill="text2"/>
          </w:tcPr>
          <w:p w14:paraId="50ABF26A" w14:textId="65FF8F01" w:rsidR="008273CC" w:rsidRPr="003C376C" w:rsidRDefault="00D928C6" w:rsidP="008273CC">
            <w:pPr>
              <w:jc w:val="center"/>
              <w:rPr>
                <w:color w:val="3C4038" w:themeColor="text2" w:themeShade="40"/>
                <w:sz w:val="20"/>
                <w:szCs w:val="20"/>
              </w:rPr>
            </w:pPr>
            <w:r>
              <w:rPr>
                <w:rFonts w:cstheme="minorHAnsi"/>
                <w:color w:val="3C4038" w:themeColor="text2" w:themeShade="40"/>
                <w:sz w:val="20"/>
                <w:szCs w:val="20"/>
              </w:rPr>
              <w:t>0.20</w:t>
            </w:r>
            <w:r w:rsidR="008273CC" w:rsidRPr="003C376C">
              <w:rPr>
                <w:rFonts w:cstheme="minorHAnsi"/>
                <w:color w:val="3C4038" w:themeColor="text2" w:themeShade="40"/>
                <w:sz w:val="20"/>
                <w:szCs w:val="20"/>
              </w:rPr>
              <w:t>% of Dollar Value</w:t>
            </w:r>
          </w:p>
        </w:tc>
      </w:tr>
      <w:tr w:rsidR="003C376C" w:rsidRPr="003C376C" w14:paraId="4932A4FC" w14:textId="5BA63E7B" w:rsidTr="00130D45">
        <w:tc>
          <w:tcPr>
            <w:tcW w:w="516" w:type="pct"/>
            <w:shd w:val="clear" w:color="auto" w:fill="FFFFFF" w:themeFill="background1"/>
          </w:tcPr>
          <w:p w14:paraId="6044C47C" w14:textId="6FDECFB2" w:rsidR="008273CC" w:rsidRPr="003C376C" w:rsidRDefault="008273CC" w:rsidP="008273CC">
            <w:pPr>
              <w:jc w:val="center"/>
              <w:rPr>
                <w:color w:val="3C4038" w:themeColor="text2" w:themeShade="40"/>
                <w:sz w:val="20"/>
                <w:szCs w:val="20"/>
              </w:rPr>
            </w:pPr>
            <w:r w:rsidRPr="003C376C">
              <w:rPr>
                <w:rFonts w:cstheme="minorHAnsi"/>
                <w:color w:val="3C4038" w:themeColor="text2" w:themeShade="40"/>
                <w:sz w:val="20"/>
                <w:szCs w:val="20"/>
              </w:rPr>
              <w:t>RC</w:t>
            </w:r>
          </w:p>
        </w:tc>
        <w:tc>
          <w:tcPr>
            <w:tcW w:w="1984" w:type="pct"/>
            <w:shd w:val="clear" w:color="auto" w:fill="FFFFFF" w:themeFill="background1"/>
          </w:tcPr>
          <w:p w14:paraId="13B7DF9C" w14:textId="51D2CC16" w:rsidR="008273CC" w:rsidRPr="003C376C" w:rsidRDefault="008273CC" w:rsidP="008273CC">
            <w:pPr>
              <w:rPr>
                <w:color w:val="3C4038" w:themeColor="text2" w:themeShade="40"/>
                <w:sz w:val="20"/>
                <w:szCs w:val="20"/>
              </w:rPr>
            </w:pPr>
            <w:r w:rsidRPr="003C376C">
              <w:rPr>
                <w:rFonts w:cstheme="minorHAnsi"/>
                <w:color w:val="3C4038" w:themeColor="text2" w:themeShade="40"/>
                <w:sz w:val="20"/>
                <w:szCs w:val="20"/>
              </w:rPr>
              <w:t>Removes Liquidity, Displayed Order (Tape C)</w:t>
            </w:r>
          </w:p>
        </w:tc>
        <w:tc>
          <w:tcPr>
            <w:tcW w:w="1250" w:type="pct"/>
            <w:shd w:val="clear" w:color="auto" w:fill="FFFFFF" w:themeFill="background1"/>
          </w:tcPr>
          <w:p w14:paraId="100A1EDE" w14:textId="39C8FB61" w:rsidR="008273CC" w:rsidRPr="003C376C" w:rsidRDefault="008273CC" w:rsidP="008273CC">
            <w:pPr>
              <w:jc w:val="center"/>
              <w:rPr>
                <w:color w:val="3C4038" w:themeColor="text2" w:themeShade="40"/>
                <w:sz w:val="20"/>
                <w:szCs w:val="20"/>
              </w:rPr>
            </w:pPr>
            <w:r w:rsidRPr="003C376C">
              <w:rPr>
                <w:rFonts w:cstheme="minorHAnsi"/>
                <w:color w:val="3C4038" w:themeColor="text2" w:themeShade="40"/>
                <w:sz w:val="20"/>
                <w:szCs w:val="20"/>
              </w:rPr>
              <w:t>$0.002</w:t>
            </w:r>
            <w:r w:rsidR="00427602">
              <w:rPr>
                <w:rFonts w:cstheme="minorHAnsi"/>
                <w:color w:val="3C4038" w:themeColor="text2" w:themeShade="40"/>
                <w:sz w:val="20"/>
                <w:szCs w:val="20"/>
              </w:rPr>
              <w:t>9</w:t>
            </w:r>
          </w:p>
        </w:tc>
        <w:tc>
          <w:tcPr>
            <w:tcW w:w="1250" w:type="pct"/>
            <w:shd w:val="clear" w:color="auto" w:fill="FFFFFF" w:themeFill="background1"/>
          </w:tcPr>
          <w:p w14:paraId="6F4EF127" w14:textId="7E6B3AA6" w:rsidR="008273CC" w:rsidRPr="003C376C" w:rsidRDefault="00D928C6" w:rsidP="008273CC">
            <w:pPr>
              <w:jc w:val="center"/>
              <w:rPr>
                <w:color w:val="3C4038" w:themeColor="text2" w:themeShade="40"/>
                <w:sz w:val="20"/>
                <w:szCs w:val="20"/>
              </w:rPr>
            </w:pPr>
            <w:r>
              <w:rPr>
                <w:rFonts w:cstheme="minorHAnsi"/>
                <w:color w:val="3C4038" w:themeColor="text2" w:themeShade="40"/>
                <w:sz w:val="20"/>
                <w:szCs w:val="20"/>
              </w:rPr>
              <w:t>0.20</w:t>
            </w:r>
            <w:r w:rsidR="008273CC" w:rsidRPr="003C376C">
              <w:rPr>
                <w:rFonts w:cstheme="minorHAnsi"/>
                <w:color w:val="3C4038" w:themeColor="text2" w:themeShade="40"/>
                <w:sz w:val="20"/>
                <w:szCs w:val="20"/>
              </w:rPr>
              <w:t>% of Dollar Value</w:t>
            </w:r>
          </w:p>
        </w:tc>
      </w:tr>
      <w:tr w:rsidR="003C376C" w:rsidRPr="003C376C" w14:paraId="26F5477B" w14:textId="77777777" w:rsidTr="00130D45">
        <w:tc>
          <w:tcPr>
            <w:tcW w:w="516" w:type="pct"/>
            <w:shd w:val="clear" w:color="auto" w:fill="F1F2F0" w:themeFill="text2"/>
          </w:tcPr>
          <w:p w14:paraId="03AB873E" w14:textId="2A0C1B36" w:rsidR="00FC02F1" w:rsidRPr="003C376C" w:rsidRDefault="00FC02F1" w:rsidP="00FC02F1">
            <w:pPr>
              <w:jc w:val="center"/>
              <w:rPr>
                <w:rFonts w:cstheme="minorHAnsi"/>
                <w:color w:val="3C4038" w:themeColor="text2" w:themeShade="40"/>
                <w:sz w:val="20"/>
                <w:szCs w:val="20"/>
              </w:rPr>
            </w:pPr>
            <w:r w:rsidRPr="003C376C">
              <w:rPr>
                <w:rFonts w:cstheme="minorHAnsi"/>
                <w:color w:val="3C4038" w:themeColor="text2" w:themeShade="40"/>
                <w:sz w:val="20"/>
                <w:szCs w:val="20"/>
              </w:rPr>
              <w:t>RR</w:t>
            </w:r>
          </w:p>
        </w:tc>
        <w:tc>
          <w:tcPr>
            <w:tcW w:w="1984" w:type="pct"/>
            <w:shd w:val="clear" w:color="auto" w:fill="F1F2F0" w:themeFill="text2"/>
          </w:tcPr>
          <w:p w14:paraId="2D7CBAB0" w14:textId="77777777" w:rsidR="00FC02F1" w:rsidRPr="003C376C" w:rsidRDefault="00FC02F1" w:rsidP="00FC02F1">
            <w:pPr>
              <w:rPr>
                <w:rFonts w:cstheme="minorHAnsi"/>
                <w:color w:val="3C4038" w:themeColor="text2" w:themeShade="40"/>
                <w:sz w:val="20"/>
                <w:szCs w:val="20"/>
              </w:rPr>
            </w:pPr>
            <w:r w:rsidRPr="003C376C">
              <w:rPr>
                <w:rFonts w:cstheme="minorHAnsi"/>
                <w:color w:val="3C4038" w:themeColor="text2" w:themeShade="40"/>
                <w:sz w:val="20"/>
                <w:szCs w:val="20"/>
              </w:rPr>
              <w:t>Retail Order, Removes Liquidity, Displayed Order (All Tapes)</w:t>
            </w:r>
          </w:p>
          <w:p w14:paraId="666FF6CA" w14:textId="77777777" w:rsidR="00FC02F1" w:rsidRPr="003C376C" w:rsidRDefault="00FC02F1" w:rsidP="00FC02F1">
            <w:pPr>
              <w:rPr>
                <w:rFonts w:cstheme="minorHAnsi"/>
                <w:color w:val="3C4038" w:themeColor="text2" w:themeShade="40"/>
                <w:sz w:val="20"/>
                <w:szCs w:val="20"/>
              </w:rPr>
            </w:pPr>
          </w:p>
        </w:tc>
        <w:tc>
          <w:tcPr>
            <w:tcW w:w="1250" w:type="pct"/>
            <w:shd w:val="clear" w:color="auto" w:fill="F1F2F0" w:themeFill="text2"/>
          </w:tcPr>
          <w:p w14:paraId="705B9618" w14:textId="01B635E2" w:rsidR="00FC02F1" w:rsidRPr="003C376C" w:rsidRDefault="00FC02F1" w:rsidP="00FC02F1">
            <w:pPr>
              <w:jc w:val="center"/>
              <w:rPr>
                <w:rFonts w:cstheme="minorHAnsi"/>
                <w:color w:val="3C4038" w:themeColor="text2" w:themeShade="40"/>
                <w:sz w:val="20"/>
                <w:szCs w:val="20"/>
              </w:rPr>
            </w:pPr>
            <w:r w:rsidRPr="003C376C">
              <w:rPr>
                <w:rFonts w:cstheme="minorHAnsi"/>
                <w:color w:val="3C4038" w:themeColor="text2" w:themeShade="40"/>
                <w:sz w:val="20"/>
                <w:szCs w:val="20"/>
              </w:rPr>
              <w:t>$0.002</w:t>
            </w:r>
            <w:r w:rsidR="00427602">
              <w:rPr>
                <w:rFonts w:cstheme="minorHAnsi"/>
                <w:color w:val="3C4038" w:themeColor="text2" w:themeShade="40"/>
                <w:sz w:val="20"/>
                <w:szCs w:val="20"/>
              </w:rPr>
              <w:t>9</w:t>
            </w:r>
          </w:p>
        </w:tc>
        <w:tc>
          <w:tcPr>
            <w:tcW w:w="1250" w:type="pct"/>
            <w:shd w:val="clear" w:color="auto" w:fill="F1F2F0" w:themeFill="text2"/>
          </w:tcPr>
          <w:p w14:paraId="049A1A72" w14:textId="3E75A8A9" w:rsidR="00FC02F1" w:rsidRPr="003C376C" w:rsidRDefault="00D928C6" w:rsidP="00FC02F1">
            <w:pPr>
              <w:jc w:val="center"/>
              <w:rPr>
                <w:rFonts w:cstheme="minorHAnsi"/>
                <w:color w:val="3C4038" w:themeColor="text2" w:themeShade="40"/>
                <w:sz w:val="20"/>
                <w:szCs w:val="20"/>
              </w:rPr>
            </w:pPr>
            <w:r>
              <w:rPr>
                <w:rFonts w:cstheme="minorHAnsi"/>
                <w:color w:val="3C4038" w:themeColor="text2" w:themeShade="40"/>
                <w:sz w:val="20"/>
                <w:szCs w:val="20"/>
              </w:rPr>
              <w:t>0.20</w:t>
            </w:r>
            <w:r w:rsidR="00FC02F1" w:rsidRPr="003C376C">
              <w:rPr>
                <w:rFonts w:cstheme="minorHAnsi"/>
                <w:color w:val="3C4038" w:themeColor="text2" w:themeShade="40"/>
                <w:sz w:val="20"/>
                <w:szCs w:val="20"/>
              </w:rPr>
              <w:t>% of Dollar Value</w:t>
            </w:r>
          </w:p>
        </w:tc>
      </w:tr>
      <w:tr w:rsidR="003C376C" w:rsidRPr="003C376C" w14:paraId="36E89D0B" w14:textId="4326CE7B" w:rsidTr="00130D45">
        <w:tc>
          <w:tcPr>
            <w:tcW w:w="516" w:type="pct"/>
            <w:shd w:val="clear" w:color="auto" w:fill="auto"/>
          </w:tcPr>
          <w:p w14:paraId="36F02C84" w14:textId="21BEBF4C" w:rsidR="008273CC" w:rsidRPr="003C376C" w:rsidRDefault="008273CC" w:rsidP="008273CC">
            <w:pPr>
              <w:jc w:val="center"/>
              <w:rPr>
                <w:rFonts w:cstheme="minorHAnsi"/>
                <w:color w:val="3C4038" w:themeColor="text2" w:themeShade="40"/>
                <w:sz w:val="20"/>
                <w:szCs w:val="20"/>
              </w:rPr>
            </w:pPr>
            <w:r w:rsidRPr="003C376C">
              <w:rPr>
                <w:rFonts w:cstheme="minorHAnsi"/>
                <w:color w:val="3C4038" w:themeColor="text2" w:themeShade="40"/>
                <w:sz w:val="20"/>
                <w:szCs w:val="20"/>
              </w:rPr>
              <w:t>Ra</w:t>
            </w:r>
          </w:p>
        </w:tc>
        <w:tc>
          <w:tcPr>
            <w:tcW w:w="1984" w:type="pct"/>
            <w:shd w:val="clear" w:color="auto" w:fill="auto"/>
          </w:tcPr>
          <w:p w14:paraId="42CC1EBF" w14:textId="2DBD9BBB" w:rsidR="008273CC" w:rsidRPr="003C376C" w:rsidRDefault="008273CC" w:rsidP="008273CC">
            <w:pPr>
              <w:rPr>
                <w:rFonts w:cstheme="minorHAnsi"/>
                <w:color w:val="3C4038" w:themeColor="text2" w:themeShade="40"/>
                <w:sz w:val="20"/>
                <w:szCs w:val="20"/>
              </w:rPr>
            </w:pPr>
            <w:r w:rsidRPr="003C376C">
              <w:rPr>
                <w:rFonts w:cstheme="minorHAnsi"/>
                <w:color w:val="3C4038" w:themeColor="text2" w:themeShade="40"/>
                <w:sz w:val="20"/>
                <w:szCs w:val="20"/>
              </w:rPr>
              <w:t>Removes Liquidity, Non-Displayed Order (Tape A)</w:t>
            </w:r>
          </w:p>
        </w:tc>
        <w:tc>
          <w:tcPr>
            <w:tcW w:w="1250" w:type="pct"/>
            <w:shd w:val="clear" w:color="auto" w:fill="auto"/>
          </w:tcPr>
          <w:p w14:paraId="2BC46BF7" w14:textId="29C9E128" w:rsidR="008273CC" w:rsidRPr="003C376C" w:rsidRDefault="008273CC" w:rsidP="008273CC">
            <w:pPr>
              <w:jc w:val="center"/>
              <w:rPr>
                <w:rFonts w:cstheme="minorHAnsi"/>
                <w:color w:val="3C4038" w:themeColor="text2" w:themeShade="40"/>
                <w:sz w:val="20"/>
                <w:szCs w:val="20"/>
              </w:rPr>
            </w:pPr>
            <w:r w:rsidRPr="003C376C">
              <w:rPr>
                <w:rFonts w:cstheme="minorHAnsi"/>
                <w:color w:val="3C4038" w:themeColor="text2" w:themeShade="40"/>
                <w:sz w:val="20"/>
                <w:szCs w:val="20"/>
              </w:rPr>
              <w:t>$0.002</w:t>
            </w:r>
            <w:r w:rsidR="00427602">
              <w:rPr>
                <w:rFonts w:cstheme="minorHAnsi"/>
                <w:color w:val="3C4038" w:themeColor="text2" w:themeShade="40"/>
                <w:sz w:val="20"/>
                <w:szCs w:val="20"/>
              </w:rPr>
              <w:t>9</w:t>
            </w:r>
          </w:p>
        </w:tc>
        <w:tc>
          <w:tcPr>
            <w:tcW w:w="1250" w:type="pct"/>
            <w:shd w:val="clear" w:color="auto" w:fill="auto"/>
          </w:tcPr>
          <w:p w14:paraId="296EAFC2" w14:textId="24DE68DF" w:rsidR="008273CC" w:rsidRPr="003C376C" w:rsidRDefault="00D928C6" w:rsidP="008273CC">
            <w:pPr>
              <w:jc w:val="center"/>
              <w:rPr>
                <w:rFonts w:cstheme="minorHAnsi"/>
                <w:color w:val="3C4038" w:themeColor="text2" w:themeShade="40"/>
                <w:sz w:val="20"/>
                <w:szCs w:val="20"/>
              </w:rPr>
            </w:pPr>
            <w:r>
              <w:rPr>
                <w:rFonts w:cstheme="minorHAnsi"/>
                <w:color w:val="3C4038" w:themeColor="text2" w:themeShade="40"/>
                <w:sz w:val="20"/>
                <w:szCs w:val="20"/>
              </w:rPr>
              <w:t>0.20</w:t>
            </w:r>
            <w:r w:rsidR="008273CC" w:rsidRPr="003C376C">
              <w:rPr>
                <w:rFonts w:cstheme="minorHAnsi"/>
                <w:color w:val="3C4038" w:themeColor="text2" w:themeShade="40"/>
                <w:sz w:val="20"/>
                <w:szCs w:val="20"/>
              </w:rPr>
              <w:t>% of Dollar Value</w:t>
            </w:r>
          </w:p>
        </w:tc>
      </w:tr>
      <w:tr w:rsidR="003C376C" w:rsidRPr="003C376C" w14:paraId="11AC2D5B" w14:textId="7730E43B" w:rsidTr="00130D45">
        <w:tc>
          <w:tcPr>
            <w:tcW w:w="516" w:type="pct"/>
            <w:shd w:val="clear" w:color="auto" w:fill="F1F2F0" w:themeFill="text2"/>
          </w:tcPr>
          <w:p w14:paraId="14DD87B7" w14:textId="333C7913" w:rsidR="008273CC" w:rsidRPr="003C376C" w:rsidRDefault="008273CC" w:rsidP="008273CC">
            <w:pPr>
              <w:jc w:val="center"/>
              <w:rPr>
                <w:rFonts w:cstheme="minorHAnsi"/>
                <w:color w:val="3C4038" w:themeColor="text2" w:themeShade="40"/>
                <w:sz w:val="20"/>
                <w:szCs w:val="20"/>
              </w:rPr>
            </w:pPr>
            <w:proofErr w:type="spellStart"/>
            <w:r w:rsidRPr="003C376C">
              <w:rPr>
                <w:rFonts w:cstheme="minorHAnsi"/>
                <w:color w:val="3C4038" w:themeColor="text2" w:themeShade="40"/>
                <w:sz w:val="20"/>
                <w:szCs w:val="20"/>
              </w:rPr>
              <w:t>Rb</w:t>
            </w:r>
            <w:proofErr w:type="spellEnd"/>
          </w:p>
        </w:tc>
        <w:tc>
          <w:tcPr>
            <w:tcW w:w="1984" w:type="pct"/>
            <w:shd w:val="clear" w:color="auto" w:fill="F1F2F0" w:themeFill="text2"/>
          </w:tcPr>
          <w:p w14:paraId="29B0A425" w14:textId="31FD9157" w:rsidR="008273CC" w:rsidRPr="003C376C" w:rsidRDefault="008273CC" w:rsidP="008273CC">
            <w:pPr>
              <w:rPr>
                <w:rFonts w:cstheme="minorHAnsi"/>
                <w:color w:val="3C4038" w:themeColor="text2" w:themeShade="40"/>
                <w:sz w:val="20"/>
                <w:szCs w:val="20"/>
              </w:rPr>
            </w:pPr>
            <w:r w:rsidRPr="003C376C">
              <w:rPr>
                <w:rFonts w:cstheme="minorHAnsi"/>
                <w:color w:val="3C4038" w:themeColor="text2" w:themeShade="40"/>
                <w:sz w:val="20"/>
                <w:szCs w:val="20"/>
              </w:rPr>
              <w:t>Removes Liquidity, Non-Displayed Order (Tape B)</w:t>
            </w:r>
          </w:p>
        </w:tc>
        <w:tc>
          <w:tcPr>
            <w:tcW w:w="1250" w:type="pct"/>
            <w:shd w:val="clear" w:color="auto" w:fill="F1F2F0" w:themeFill="text2"/>
          </w:tcPr>
          <w:p w14:paraId="7895EAE4" w14:textId="265DF115" w:rsidR="008273CC" w:rsidRPr="003C376C" w:rsidRDefault="008273CC" w:rsidP="008273CC">
            <w:pPr>
              <w:jc w:val="center"/>
              <w:rPr>
                <w:rFonts w:cstheme="minorHAnsi"/>
                <w:color w:val="3C4038" w:themeColor="text2" w:themeShade="40"/>
                <w:sz w:val="20"/>
                <w:szCs w:val="20"/>
              </w:rPr>
            </w:pPr>
            <w:r w:rsidRPr="003C376C">
              <w:rPr>
                <w:rFonts w:cstheme="minorHAnsi"/>
                <w:color w:val="3C4038" w:themeColor="text2" w:themeShade="40"/>
                <w:sz w:val="20"/>
                <w:szCs w:val="20"/>
              </w:rPr>
              <w:t>$0.002</w:t>
            </w:r>
            <w:r w:rsidR="00427602">
              <w:rPr>
                <w:rFonts w:cstheme="minorHAnsi"/>
                <w:color w:val="3C4038" w:themeColor="text2" w:themeShade="40"/>
                <w:sz w:val="20"/>
                <w:szCs w:val="20"/>
              </w:rPr>
              <w:t>9</w:t>
            </w:r>
          </w:p>
        </w:tc>
        <w:tc>
          <w:tcPr>
            <w:tcW w:w="1250" w:type="pct"/>
            <w:shd w:val="clear" w:color="auto" w:fill="F1F2F0" w:themeFill="text2"/>
          </w:tcPr>
          <w:p w14:paraId="2A6129A9" w14:textId="6CAFC964" w:rsidR="008273CC" w:rsidRPr="003C376C" w:rsidRDefault="00D928C6" w:rsidP="008273CC">
            <w:pPr>
              <w:jc w:val="center"/>
              <w:rPr>
                <w:rFonts w:cstheme="minorHAnsi"/>
                <w:color w:val="3C4038" w:themeColor="text2" w:themeShade="40"/>
                <w:sz w:val="20"/>
                <w:szCs w:val="20"/>
              </w:rPr>
            </w:pPr>
            <w:r>
              <w:rPr>
                <w:rFonts w:cstheme="minorHAnsi"/>
                <w:color w:val="3C4038" w:themeColor="text2" w:themeShade="40"/>
                <w:sz w:val="20"/>
                <w:szCs w:val="20"/>
              </w:rPr>
              <w:t>0.20</w:t>
            </w:r>
            <w:r w:rsidR="008273CC" w:rsidRPr="003C376C">
              <w:rPr>
                <w:rFonts w:cstheme="minorHAnsi"/>
                <w:color w:val="3C4038" w:themeColor="text2" w:themeShade="40"/>
                <w:sz w:val="20"/>
                <w:szCs w:val="20"/>
              </w:rPr>
              <w:t>% of Dollar Value</w:t>
            </w:r>
          </w:p>
        </w:tc>
      </w:tr>
      <w:tr w:rsidR="003C376C" w:rsidRPr="003C376C" w14:paraId="41F8F9B3" w14:textId="77777777" w:rsidTr="00130D45">
        <w:trPr>
          <w:trHeight w:val="70"/>
        </w:trPr>
        <w:tc>
          <w:tcPr>
            <w:tcW w:w="516" w:type="pct"/>
            <w:shd w:val="clear" w:color="auto" w:fill="auto"/>
          </w:tcPr>
          <w:p w14:paraId="69ADE970" w14:textId="4AA645AF" w:rsidR="008273CC" w:rsidRPr="003C376C" w:rsidRDefault="008273CC" w:rsidP="008273CC">
            <w:pPr>
              <w:jc w:val="center"/>
              <w:rPr>
                <w:rFonts w:cstheme="minorHAnsi"/>
                <w:color w:val="3C4038" w:themeColor="text2" w:themeShade="40"/>
                <w:sz w:val="20"/>
                <w:szCs w:val="20"/>
              </w:rPr>
            </w:pPr>
            <w:proofErr w:type="spellStart"/>
            <w:r w:rsidRPr="003C376C">
              <w:rPr>
                <w:rFonts w:cstheme="minorHAnsi"/>
                <w:color w:val="3C4038" w:themeColor="text2" w:themeShade="40"/>
                <w:sz w:val="20"/>
                <w:szCs w:val="20"/>
              </w:rPr>
              <w:t>Rc</w:t>
            </w:r>
            <w:proofErr w:type="spellEnd"/>
          </w:p>
        </w:tc>
        <w:tc>
          <w:tcPr>
            <w:tcW w:w="1984" w:type="pct"/>
            <w:shd w:val="clear" w:color="auto" w:fill="auto"/>
          </w:tcPr>
          <w:p w14:paraId="4FE1596F" w14:textId="67CC278F" w:rsidR="008273CC" w:rsidRPr="003C376C" w:rsidRDefault="008273CC" w:rsidP="008273CC">
            <w:pPr>
              <w:rPr>
                <w:rFonts w:cstheme="minorHAnsi"/>
                <w:color w:val="3C4038" w:themeColor="text2" w:themeShade="40"/>
                <w:sz w:val="20"/>
                <w:szCs w:val="20"/>
              </w:rPr>
            </w:pPr>
            <w:r w:rsidRPr="003C376C">
              <w:rPr>
                <w:rFonts w:cstheme="minorHAnsi"/>
                <w:color w:val="3C4038" w:themeColor="text2" w:themeShade="40"/>
                <w:sz w:val="20"/>
                <w:szCs w:val="20"/>
              </w:rPr>
              <w:t>Removes Liquidity, Non-Displayed Order (Tape C)</w:t>
            </w:r>
          </w:p>
        </w:tc>
        <w:tc>
          <w:tcPr>
            <w:tcW w:w="1250" w:type="pct"/>
            <w:shd w:val="clear" w:color="auto" w:fill="auto"/>
          </w:tcPr>
          <w:p w14:paraId="1330D8CF" w14:textId="1692180B" w:rsidR="008273CC" w:rsidRPr="003C376C" w:rsidRDefault="008273CC" w:rsidP="008273CC">
            <w:pPr>
              <w:jc w:val="center"/>
              <w:rPr>
                <w:rFonts w:cstheme="minorHAnsi"/>
                <w:color w:val="3C4038" w:themeColor="text2" w:themeShade="40"/>
                <w:sz w:val="20"/>
                <w:szCs w:val="20"/>
              </w:rPr>
            </w:pPr>
            <w:r w:rsidRPr="003C376C">
              <w:rPr>
                <w:rFonts w:cstheme="minorHAnsi"/>
                <w:color w:val="3C4038" w:themeColor="text2" w:themeShade="40"/>
                <w:sz w:val="20"/>
                <w:szCs w:val="20"/>
              </w:rPr>
              <w:t>$0.002</w:t>
            </w:r>
            <w:r w:rsidR="00427602">
              <w:rPr>
                <w:rFonts w:cstheme="minorHAnsi"/>
                <w:color w:val="3C4038" w:themeColor="text2" w:themeShade="40"/>
                <w:sz w:val="20"/>
                <w:szCs w:val="20"/>
              </w:rPr>
              <w:t>9</w:t>
            </w:r>
          </w:p>
        </w:tc>
        <w:tc>
          <w:tcPr>
            <w:tcW w:w="1250" w:type="pct"/>
            <w:shd w:val="clear" w:color="auto" w:fill="auto"/>
          </w:tcPr>
          <w:p w14:paraId="53FA3CBD" w14:textId="04884F40" w:rsidR="008273CC" w:rsidRPr="003C376C" w:rsidRDefault="00D928C6" w:rsidP="008273CC">
            <w:pPr>
              <w:jc w:val="center"/>
              <w:rPr>
                <w:rFonts w:cstheme="minorHAnsi"/>
                <w:color w:val="3C4038" w:themeColor="text2" w:themeShade="40"/>
                <w:sz w:val="20"/>
                <w:szCs w:val="20"/>
              </w:rPr>
            </w:pPr>
            <w:r>
              <w:rPr>
                <w:rFonts w:cstheme="minorHAnsi"/>
                <w:color w:val="3C4038" w:themeColor="text2" w:themeShade="40"/>
                <w:sz w:val="20"/>
                <w:szCs w:val="20"/>
              </w:rPr>
              <w:t>0.20</w:t>
            </w:r>
            <w:r w:rsidR="008273CC" w:rsidRPr="003C376C">
              <w:rPr>
                <w:rFonts w:cstheme="minorHAnsi"/>
                <w:color w:val="3C4038" w:themeColor="text2" w:themeShade="40"/>
                <w:sz w:val="20"/>
                <w:szCs w:val="20"/>
              </w:rPr>
              <w:t>% of Dollar Value</w:t>
            </w:r>
          </w:p>
        </w:tc>
      </w:tr>
      <w:tr w:rsidR="003C376C" w:rsidRPr="003C376C" w14:paraId="4368034F" w14:textId="77777777" w:rsidTr="00130D45">
        <w:trPr>
          <w:trHeight w:val="70"/>
        </w:trPr>
        <w:tc>
          <w:tcPr>
            <w:tcW w:w="516" w:type="pct"/>
            <w:shd w:val="clear" w:color="auto" w:fill="F1F2F0" w:themeFill="text2"/>
          </w:tcPr>
          <w:p w14:paraId="61FCB834" w14:textId="21CC4BD2" w:rsidR="00FC02F1" w:rsidRPr="003C376C" w:rsidRDefault="00FC02F1" w:rsidP="00FC02F1">
            <w:pPr>
              <w:jc w:val="center"/>
              <w:rPr>
                <w:rFonts w:cstheme="minorHAnsi"/>
                <w:color w:val="3C4038" w:themeColor="text2" w:themeShade="40"/>
                <w:sz w:val="20"/>
                <w:szCs w:val="20"/>
              </w:rPr>
            </w:pPr>
            <w:r w:rsidRPr="003C376C">
              <w:rPr>
                <w:rFonts w:cstheme="minorHAnsi"/>
                <w:color w:val="3C4038" w:themeColor="text2" w:themeShade="40"/>
                <w:sz w:val="20"/>
                <w:szCs w:val="20"/>
              </w:rPr>
              <w:t>Rr</w:t>
            </w:r>
          </w:p>
        </w:tc>
        <w:tc>
          <w:tcPr>
            <w:tcW w:w="1984" w:type="pct"/>
            <w:shd w:val="clear" w:color="auto" w:fill="F1F2F0" w:themeFill="text2"/>
          </w:tcPr>
          <w:p w14:paraId="35858092" w14:textId="77777777" w:rsidR="00FC02F1" w:rsidRPr="003C376C" w:rsidRDefault="00FC02F1" w:rsidP="00FC02F1">
            <w:pPr>
              <w:rPr>
                <w:rFonts w:cstheme="minorHAnsi"/>
                <w:color w:val="3C4038" w:themeColor="text2" w:themeShade="40"/>
                <w:sz w:val="20"/>
                <w:szCs w:val="20"/>
              </w:rPr>
            </w:pPr>
            <w:r w:rsidRPr="003C376C">
              <w:rPr>
                <w:rFonts w:cstheme="minorHAnsi"/>
                <w:color w:val="3C4038" w:themeColor="text2" w:themeShade="40"/>
                <w:sz w:val="20"/>
                <w:szCs w:val="20"/>
              </w:rPr>
              <w:t>Retail Order, Removes Liquidity, Non-Displayed Order (All Tapes)</w:t>
            </w:r>
          </w:p>
          <w:p w14:paraId="37338E7D" w14:textId="77777777" w:rsidR="00FC02F1" w:rsidRPr="003C376C" w:rsidRDefault="00FC02F1" w:rsidP="00FC02F1">
            <w:pPr>
              <w:rPr>
                <w:rFonts w:cstheme="minorHAnsi"/>
                <w:color w:val="3C4038" w:themeColor="text2" w:themeShade="40"/>
                <w:sz w:val="20"/>
                <w:szCs w:val="20"/>
              </w:rPr>
            </w:pPr>
          </w:p>
        </w:tc>
        <w:tc>
          <w:tcPr>
            <w:tcW w:w="1250" w:type="pct"/>
            <w:shd w:val="clear" w:color="auto" w:fill="F1F2F0" w:themeFill="text2"/>
          </w:tcPr>
          <w:p w14:paraId="4FEE24F4" w14:textId="0F51DCB1" w:rsidR="00FC02F1" w:rsidRPr="003C376C" w:rsidRDefault="00FC02F1" w:rsidP="00FC02F1">
            <w:pPr>
              <w:jc w:val="center"/>
              <w:rPr>
                <w:rFonts w:cstheme="minorHAnsi"/>
                <w:color w:val="3C4038" w:themeColor="text2" w:themeShade="40"/>
                <w:sz w:val="20"/>
                <w:szCs w:val="20"/>
              </w:rPr>
            </w:pPr>
            <w:r w:rsidRPr="003C376C">
              <w:rPr>
                <w:rFonts w:cstheme="minorHAnsi"/>
                <w:color w:val="3C4038" w:themeColor="text2" w:themeShade="40"/>
                <w:sz w:val="20"/>
                <w:szCs w:val="20"/>
              </w:rPr>
              <w:t>$0.002</w:t>
            </w:r>
            <w:r w:rsidR="00427602">
              <w:rPr>
                <w:rFonts w:cstheme="minorHAnsi"/>
                <w:color w:val="3C4038" w:themeColor="text2" w:themeShade="40"/>
                <w:sz w:val="20"/>
                <w:szCs w:val="20"/>
              </w:rPr>
              <w:t>9</w:t>
            </w:r>
          </w:p>
        </w:tc>
        <w:tc>
          <w:tcPr>
            <w:tcW w:w="1250" w:type="pct"/>
            <w:shd w:val="clear" w:color="auto" w:fill="F1F2F0" w:themeFill="text2"/>
          </w:tcPr>
          <w:p w14:paraId="7E0C92C8" w14:textId="16410233" w:rsidR="00FC02F1" w:rsidRPr="003C376C" w:rsidRDefault="00D928C6" w:rsidP="00FC02F1">
            <w:pPr>
              <w:jc w:val="center"/>
              <w:rPr>
                <w:rFonts w:cstheme="minorHAnsi"/>
                <w:color w:val="3C4038" w:themeColor="text2" w:themeShade="40"/>
                <w:sz w:val="20"/>
                <w:szCs w:val="20"/>
              </w:rPr>
            </w:pPr>
            <w:r>
              <w:rPr>
                <w:rFonts w:cstheme="minorHAnsi"/>
                <w:color w:val="3C4038" w:themeColor="text2" w:themeShade="40"/>
                <w:sz w:val="20"/>
                <w:szCs w:val="20"/>
              </w:rPr>
              <w:t>0.20</w:t>
            </w:r>
            <w:r w:rsidR="00FC02F1" w:rsidRPr="003C376C">
              <w:rPr>
                <w:rFonts w:cstheme="minorHAnsi"/>
                <w:color w:val="3C4038" w:themeColor="text2" w:themeShade="40"/>
                <w:sz w:val="20"/>
                <w:szCs w:val="20"/>
              </w:rPr>
              <w:t>% of Dollar Value</w:t>
            </w:r>
          </w:p>
        </w:tc>
      </w:tr>
      <w:tr w:rsidR="003C376C" w:rsidRPr="003C376C" w14:paraId="0B0C0986" w14:textId="77777777" w:rsidTr="00130D45">
        <w:tc>
          <w:tcPr>
            <w:tcW w:w="516" w:type="pct"/>
            <w:shd w:val="clear" w:color="auto" w:fill="FFFFFF" w:themeFill="background1"/>
          </w:tcPr>
          <w:p w14:paraId="39F307A0" w14:textId="5F7FEA2F" w:rsidR="008273CC" w:rsidRPr="003C376C" w:rsidRDefault="008273CC" w:rsidP="008273CC">
            <w:pPr>
              <w:jc w:val="center"/>
              <w:rPr>
                <w:rFonts w:cstheme="minorHAnsi"/>
                <w:color w:val="3C4038" w:themeColor="text2" w:themeShade="40"/>
                <w:sz w:val="20"/>
                <w:szCs w:val="20"/>
              </w:rPr>
            </w:pPr>
            <w:r w:rsidRPr="003C376C">
              <w:rPr>
                <w:rFonts w:cstheme="minorHAnsi"/>
                <w:color w:val="3C4038" w:themeColor="text2" w:themeShade="40"/>
                <w:sz w:val="20"/>
                <w:szCs w:val="20"/>
              </w:rPr>
              <w:t>X</w:t>
            </w:r>
          </w:p>
        </w:tc>
        <w:tc>
          <w:tcPr>
            <w:tcW w:w="1984" w:type="pct"/>
            <w:shd w:val="clear" w:color="auto" w:fill="FFFFFF" w:themeFill="background1"/>
          </w:tcPr>
          <w:p w14:paraId="3B785154" w14:textId="494804BC" w:rsidR="008273CC" w:rsidRPr="003C376C" w:rsidRDefault="008273CC" w:rsidP="008273CC">
            <w:pPr>
              <w:rPr>
                <w:rFonts w:cstheme="minorHAnsi"/>
                <w:color w:val="3C4038" w:themeColor="text2" w:themeShade="40"/>
                <w:sz w:val="20"/>
                <w:szCs w:val="20"/>
              </w:rPr>
            </w:pPr>
            <w:r w:rsidRPr="003C376C">
              <w:rPr>
                <w:rFonts w:cstheme="minorHAnsi"/>
                <w:color w:val="3C4038" w:themeColor="text2" w:themeShade="40"/>
                <w:sz w:val="20"/>
                <w:szCs w:val="20"/>
              </w:rPr>
              <w:t>Routed</w:t>
            </w:r>
          </w:p>
        </w:tc>
        <w:tc>
          <w:tcPr>
            <w:tcW w:w="1250" w:type="pct"/>
            <w:shd w:val="clear" w:color="auto" w:fill="FFFFFF" w:themeFill="background1"/>
          </w:tcPr>
          <w:p w14:paraId="11D4D2F1" w14:textId="6AEA7D35" w:rsidR="008273CC" w:rsidRPr="003C376C" w:rsidRDefault="008273CC" w:rsidP="008273CC">
            <w:pPr>
              <w:jc w:val="center"/>
              <w:rPr>
                <w:rFonts w:cstheme="minorHAnsi"/>
                <w:color w:val="3C4038" w:themeColor="text2" w:themeShade="40"/>
                <w:sz w:val="20"/>
                <w:szCs w:val="20"/>
              </w:rPr>
            </w:pPr>
            <w:r w:rsidRPr="003C376C">
              <w:rPr>
                <w:rFonts w:cstheme="minorHAnsi"/>
                <w:color w:val="3C4038" w:themeColor="text2" w:themeShade="40"/>
                <w:sz w:val="20"/>
                <w:szCs w:val="20"/>
              </w:rPr>
              <w:t>$0.0030</w:t>
            </w:r>
          </w:p>
        </w:tc>
        <w:tc>
          <w:tcPr>
            <w:tcW w:w="1250" w:type="pct"/>
            <w:shd w:val="clear" w:color="auto" w:fill="FFFFFF" w:themeFill="background1"/>
          </w:tcPr>
          <w:p w14:paraId="2CAD2FB5" w14:textId="40D23D16" w:rsidR="008273CC" w:rsidRPr="003C376C" w:rsidRDefault="008273CC" w:rsidP="008273CC">
            <w:pPr>
              <w:jc w:val="center"/>
              <w:rPr>
                <w:rFonts w:cstheme="minorHAnsi"/>
                <w:color w:val="3C4038" w:themeColor="text2" w:themeShade="40"/>
                <w:sz w:val="20"/>
                <w:szCs w:val="20"/>
              </w:rPr>
            </w:pPr>
            <w:r w:rsidRPr="003C376C">
              <w:rPr>
                <w:rFonts w:cstheme="minorHAnsi"/>
                <w:color w:val="3C4038" w:themeColor="text2" w:themeShade="40"/>
                <w:sz w:val="20"/>
                <w:szCs w:val="20"/>
              </w:rPr>
              <w:t>0.30% of Dollar Value</w:t>
            </w:r>
          </w:p>
        </w:tc>
      </w:tr>
      <w:tr w:rsidR="00807789" w:rsidRPr="00BE7892" w14:paraId="7C8060FD" w14:textId="77777777" w:rsidTr="00807789">
        <w:tc>
          <w:tcPr>
            <w:tcW w:w="516" w:type="pct"/>
            <w:shd w:val="clear" w:color="auto" w:fill="F1F2F0" w:themeFill="text2"/>
          </w:tcPr>
          <w:p w14:paraId="22B63A33" w14:textId="42142430"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XA</w:t>
            </w:r>
          </w:p>
        </w:tc>
        <w:tc>
          <w:tcPr>
            <w:tcW w:w="1984" w:type="pct"/>
            <w:shd w:val="clear" w:color="auto" w:fill="F1F2F0" w:themeFill="text2"/>
          </w:tcPr>
          <w:p w14:paraId="43E3741E" w14:textId="050453E3"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Re-routed by Primary Listing Exchange</w:t>
            </w:r>
          </w:p>
        </w:tc>
        <w:tc>
          <w:tcPr>
            <w:tcW w:w="1250" w:type="pct"/>
            <w:shd w:val="clear" w:color="auto" w:fill="F1F2F0" w:themeFill="text2"/>
          </w:tcPr>
          <w:p w14:paraId="07EA8894" w14:textId="77A0E4FF"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$0.0030</w:t>
            </w:r>
          </w:p>
        </w:tc>
        <w:tc>
          <w:tcPr>
            <w:tcW w:w="1250" w:type="pct"/>
            <w:shd w:val="clear" w:color="auto" w:fill="F1F2F0" w:themeFill="text2"/>
          </w:tcPr>
          <w:p w14:paraId="4B865BE6" w14:textId="68FCA5A4"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0.30% of Dollar Value</w:t>
            </w:r>
          </w:p>
        </w:tc>
      </w:tr>
      <w:tr w:rsidR="00807789" w:rsidRPr="00BE7892" w14:paraId="5A70162A" w14:textId="77777777" w:rsidTr="00130D45">
        <w:tc>
          <w:tcPr>
            <w:tcW w:w="516" w:type="pct"/>
            <w:shd w:val="clear" w:color="auto" w:fill="auto"/>
          </w:tcPr>
          <w:p w14:paraId="6415D354" w14:textId="1AE8BD4C"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XB</w:t>
            </w:r>
          </w:p>
        </w:tc>
        <w:tc>
          <w:tcPr>
            <w:tcW w:w="1984" w:type="pct"/>
            <w:shd w:val="clear" w:color="auto" w:fill="auto"/>
          </w:tcPr>
          <w:p w14:paraId="34591C73" w14:textId="7E3D9520"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Routed Primary Listing Exchange Execution (Other)</w:t>
            </w:r>
          </w:p>
        </w:tc>
        <w:tc>
          <w:tcPr>
            <w:tcW w:w="1250" w:type="pct"/>
            <w:shd w:val="clear" w:color="auto" w:fill="auto"/>
          </w:tcPr>
          <w:p w14:paraId="59A546EF" w14:textId="548AD97D"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$0.0030</w:t>
            </w:r>
          </w:p>
        </w:tc>
        <w:tc>
          <w:tcPr>
            <w:tcW w:w="1250" w:type="pct"/>
            <w:shd w:val="clear" w:color="auto" w:fill="auto"/>
          </w:tcPr>
          <w:p w14:paraId="349F32E4" w14:textId="6E7F9B16"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0.30% of Dollar Value</w:t>
            </w:r>
          </w:p>
        </w:tc>
      </w:tr>
      <w:tr w:rsidR="00807789" w:rsidRPr="00BE7892" w14:paraId="221A26C8" w14:textId="77777777" w:rsidTr="00807789">
        <w:tc>
          <w:tcPr>
            <w:tcW w:w="516" w:type="pct"/>
            <w:shd w:val="clear" w:color="auto" w:fill="F1F2F0" w:themeFill="text2"/>
          </w:tcPr>
          <w:p w14:paraId="190F3216" w14:textId="748F0572"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XC</w:t>
            </w:r>
          </w:p>
        </w:tc>
        <w:tc>
          <w:tcPr>
            <w:tcW w:w="1984" w:type="pct"/>
            <w:shd w:val="clear" w:color="auto" w:fill="F1F2F0" w:themeFill="text2"/>
          </w:tcPr>
          <w:p w14:paraId="77012DE3" w14:textId="4337610B"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Routed to NYSE, Opening/Re-Opening Auction</w:t>
            </w:r>
          </w:p>
        </w:tc>
        <w:tc>
          <w:tcPr>
            <w:tcW w:w="1250" w:type="pct"/>
            <w:shd w:val="clear" w:color="auto" w:fill="F1F2F0" w:themeFill="text2"/>
          </w:tcPr>
          <w:p w14:paraId="034A4AA4" w14:textId="1E604F8C"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$0.00105</w:t>
            </w:r>
          </w:p>
        </w:tc>
        <w:tc>
          <w:tcPr>
            <w:tcW w:w="1250" w:type="pct"/>
            <w:shd w:val="clear" w:color="auto" w:fill="F1F2F0" w:themeFill="text2"/>
          </w:tcPr>
          <w:p w14:paraId="541E1BB7" w14:textId="5BA7CB93"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0.30% of Dollar Value</w:t>
            </w:r>
          </w:p>
        </w:tc>
      </w:tr>
      <w:tr w:rsidR="00807789" w:rsidRPr="00BE7892" w14:paraId="3EDB1567" w14:textId="77777777" w:rsidTr="00130D45">
        <w:tc>
          <w:tcPr>
            <w:tcW w:w="516" w:type="pct"/>
            <w:shd w:val="clear" w:color="auto" w:fill="auto"/>
          </w:tcPr>
          <w:p w14:paraId="604E9554" w14:textId="74F28C15"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XD</w:t>
            </w:r>
          </w:p>
        </w:tc>
        <w:tc>
          <w:tcPr>
            <w:tcW w:w="1984" w:type="pct"/>
            <w:shd w:val="clear" w:color="auto" w:fill="auto"/>
          </w:tcPr>
          <w:p w14:paraId="41C3AD14" w14:textId="2D7C5851"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Routed to NYSE, Closing Auction</w:t>
            </w:r>
          </w:p>
        </w:tc>
        <w:tc>
          <w:tcPr>
            <w:tcW w:w="1250" w:type="pct"/>
            <w:shd w:val="clear" w:color="auto" w:fill="auto"/>
          </w:tcPr>
          <w:p w14:paraId="0AD3B1E2" w14:textId="5266797D"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$0.00085</w:t>
            </w:r>
          </w:p>
        </w:tc>
        <w:tc>
          <w:tcPr>
            <w:tcW w:w="1250" w:type="pct"/>
            <w:shd w:val="clear" w:color="auto" w:fill="auto"/>
          </w:tcPr>
          <w:p w14:paraId="765BE7DE" w14:textId="48859341"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0.30% of Dollar Value</w:t>
            </w:r>
          </w:p>
        </w:tc>
      </w:tr>
      <w:tr w:rsidR="00807789" w:rsidRPr="00BE7892" w14:paraId="7A639A5E" w14:textId="77777777" w:rsidTr="00807789">
        <w:tc>
          <w:tcPr>
            <w:tcW w:w="516" w:type="pct"/>
            <w:shd w:val="clear" w:color="auto" w:fill="F1F2F0" w:themeFill="text2"/>
          </w:tcPr>
          <w:p w14:paraId="75D0DDAB" w14:textId="0A0A43F6"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XE</w:t>
            </w:r>
          </w:p>
        </w:tc>
        <w:tc>
          <w:tcPr>
            <w:tcW w:w="1984" w:type="pct"/>
            <w:shd w:val="clear" w:color="auto" w:fill="F1F2F0" w:themeFill="text2"/>
          </w:tcPr>
          <w:p w14:paraId="68D4CD5F" w14:textId="491FC622"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Routed to NYSE, Adds Displayed Liquidity</w:t>
            </w:r>
          </w:p>
        </w:tc>
        <w:tc>
          <w:tcPr>
            <w:tcW w:w="1250" w:type="pct"/>
            <w:shd w:val="clear" w:color="auto" w:fill="F1F2F0" w:themeFill="text2"/>
          </w:tcPr>
          <w:p w14:paraId="46D7B736" w14:textId="3454E196"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($0.0015)</w:t>
            </w:r>
          </w:p>
        </w:tc>
        <w:tc>
          <w:tcPr>
            <w:tcW w:w="1250" w:type="pct"/>
            <w:shd w:val="clear" w:color="auto" w:fill="F1F2F0" w:themeFill="text2"/>
          </w:tcPr>
          <w:p w14:paraId="5C9C7C90" w14:textId="51EA00ED"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0.01% of Dollar Value</w:t>
            </w:r>
          </w:p>
        </w:tc>
      </w:tr>
      <w:tr w:rsidR="00807789" w:rsidRPr="00BE7892" w14:paraId="4274D0B2" w14:textId="77777777" w:rsidTr="00130D45">
        <w:tc>
          <w:tcPr>
            <w:tcW w:w="516" w:type="pct"/>
            <w:shd w:val="clear" w:color="auto" w:fill="auto"/>
          </w:tcPr>
          <w:p w14:paraId="5A26043A" w14:textId="3C7B6FA9"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XF</w:t>
            </w:r>
          </w:p>
        </w:tc>
        <w:tc>
          <w:tcPr>
            <w:tcW w:w="1984" w:type="pct"/>
            <w:shd w:val="clear" w:color="auto" w:fill="auto"/>
          </w:tcPr>
          <w:p w14:paraId="7F7D1D7A" w14:textId="126DE4BD"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 xml:space="preserve">Routed to NYSE </w:t>
            </w:r>
            <w:proofErr w:type="spellStart"/>
            <w:r w:rsidRPr="00807789">
              <w:rPr>
                <w:rFonts w:cstheme="minorHAnsi"/>
                <w:color w:val="3C4038" w:themeColor="text2" w:themeShade="40"/>
                <w:sz w:val="20"/>
                <w:szCs w:val="20"/>
              </w:rPr>
              <w:t>Arca</w:t>
            </w:r>
            <w:proofErr w:type="spellEnd"/>
            <w:r w:rsidRPr="00807789">
              <w:rPr>
                <w:rFonts w:cstheme="minorHAnsi"/>
                <w:color w:val="3C4038" w:themeColor="text2" w:themeShade="40"/>
                <w:sz w:val="20"/>
                <w:szCs w:val="20"/>
              </w:rPr>
              <w:t>, Opening/Re-Opening Auction</w:t>
            </w:r>
          </w:p>
        </w:tc>
        <w:tc>
          <w:tcPr>
            <w:tcW w:w="1250" w:type="pct"/>
            <w:shd w:val="clear" w:color="auto" w:fill="auto"/>
          </w:tcPr>
          <w:p w14:paraId="7DE0CD8C" w14:textId="45E39D9A"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$0.00155</w:t>
            </w:r>
          </w:p>
        </w:tc>
        <w:tc>
          <w:tcPr>
            <w:tcW w:w="1250" w:type="pct"/>
            <w:shd w:val="clear" w:color="auto" w:fill="auto"/>
          </w:tcPr>
          <w:p w14:paraId="343A7A5B" w14:textId="5A196DC9"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0.105% of Dollar Value</w:t>
            </w:r>
          </w:p>
        </w:tc>
      </w:tr>
      <w:tr w:rsidR="00807789" w:rsidRPr="00BE7892" w14:paraId="7B5AADB0" w14:textId="77777777" w:rsidTr="00807789">
        <w:tc>
          <w:tcPr>
            <w:tcW w:w="516" w:type="pct"/>
            <w:shd w:val="clear" w:color="auto" w:fill="F1F2F0" w:themeFill="text2"/>
          </w:tcPr>
          <w:p w14:paraId="16771C20" w14:textId="326546F2"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XG</w:t>
            </w:r>
          </w:p>
        </w:tc>
        <w:tc>
          <w:tcPr>
            <w:tcW w:w="1984" w:type="pct"/>
            <w:shd w:val="clear" w:color="auto" w:fill="F1F2F0" w:themeFill="text2"/>
          </w:tcPr>
          <w:p w14:paraId="727EBAD5" w14:textId="5672DD6E"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 xml:space="preserve">Routed to NYSE </w:t>
            </w:r>
            <w:proofErr w:type="spellStart"/>
            <w:r w:rsidRPr="00807789">
              <w:rPr>
                <w:rFonts w:cstheme="minorHAnsi"/>
                <w:color w:val="3C4038" w:themeColor="text2" w:themeShade="40"/>
                <w:sz w:val="20"/>
                <w:szCs w:val="20"/>
              </w:rPr>
              <w:t>Arca</w:t>
            </w:r>
            <w:proofErr w:type="spellEnd"/>
            <w:r w:rsidRPr="00807789">
              <w:rPr>
                <w:rFonts w:cstheme="minorHAnsi"/>
                <w:color w:val="3C4038" w:themeColor="text2" w:themeShade="40"/>
                <w:sz w:val="20"/>
                <w:szCs w:val="20"/>
              </w:rPr>
              <w:t>, Closing Auction</w:t>
            </w:r>
          </w:p>
        </w:tc>
        <w:tc>
          <w:tcPr>
            <w:tcW w:w="1250" w:type="pct"/>
            <w:shd w:val="clear" w:color="auto" w:fill="F1F2F0" w:themeFill="text2"/>
          </w:tcPr>
          <w:p w14:paraId="02D27AF6" w14:textId="62D20D3A"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$0.00105</w:t>
            </w:r>
          </w:p>
        </w:tc>
        <w:tc>
          <w:tcPr>
            <w:tcW w:w="1250" w:type="pct"/>
            <w:shd w:val="clear" w:color="auto" w:fill="F1F2F0" w:themeFill="text2"/>
          </w:tcPr>
          <w:p w14:paraId="5FC3F353" w14:textId="01ED145B"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0.105% of Dollar Value</w:t>
            </w:r>
          </w:p>
        </w:tc>
      </w:tr>
      <w:tr w:rsidR="00807789" w:rsidRPr="00BE7892" w14:paraId="6133179A" w14:textId="77777777" w:rsidTr="00130D45">
        <w:tc>
          <w:tcPr>
            <w:tcW w:w="516" w:type="pct"/>
            <w:shd w:val="clear" w:color="auto" w:fill="auto"/>
          </w:tcPr>
          <w:p w14:paraId="60C6376A" w14:textId="527F1588"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lastRenderedPageBreak/>
              <w:t>XH</w:t>
            </w:r>
          </w:p>
        </w:tc>
        <w:tc>
          <w:tcPr>
            <w:tcW w:w="1984" w:type="pct"/>
            <w:shd w:val="clear" w:color="auto" w:fill="auto"/>
          </w:tcPr>
          <w:p w14:paraId="2F48CEBA" w14:textId="280530A1"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 xml:space="preserve">Routed to NYSE </w:t>
            </w:r>
            <w:proofErr w:type="spellStart"/>
            <w:r w:rsidRPr="00807789">
              <w:rPr>
                <w:rFonts w:cstheme="minorHAnsi"/>
                <w:color w:val="3C4038" w:themeColor="text2" w:themeShade="40"/>
                <w:sz w:val="20"/>
                <w:szCs w:val="20"/>
              </w:rPr>
              <w:t>Arca</w:t>
            </w:r>
            <w:proofErr w:type="spellEnd"/>
            <w:r w:rsidRPr="00807789">
              <w:rPr>
                <w:rFonts w:cstheme="minorHAnsi"/>
                <w:color w:val="3C4038" w:themeColor="text2" w:themeShade="40"/>
                <w:sz w:val="20"/>
                <w:szCs w:val="20"/>
              </w:rPr>
              <w:t>, Adds Displayed Liquidity</w:t>
            </w:r>
          </w:p>
        </w:tc>
        <w:tc>
          <w:tcPr>
            <w:tcW w:w="1250" w:type="pct"/>
            <w:shd w:val="clear" w:color="auto" w:fill="auto"/>
          </w:tcPr>
          <w:p w14:paraId="172F7AA8" w14:textId="037D7D55"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($0.0015)</w:t>
            </w:r>
          </w:p>
        </w:tc>
        <w:tc>
          <w:tcPr>
            <w:tcW w:w="1250" w:type="pct"/>
            <w:shd w:val="clear" w:color="auto" w:fill="auto"/>
          </w:tcPr>
          <w:p w14:paraId="138144A5" w14:textId="5F21913B"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0.01% of Dollar Value</w:t>
            </w:r>
          </w:p>
        </w:tc>
      </w:tr>
      <w:tr w:rsidR="00807789" w:rsidRPr="00BE7892" w14:paraId="3DCD035C" w14:textId="77777777" w:rsidTr="00807789">
        <w:tc>
          <w:tcPr>
            <w:tcW w:w="516" w:type="pct"/>
            <w:shd w:val="clear" w:color="auto" w:fill="F1F2F0" w:themeFill="text2"/>
          </w:tcPr>
          <w:p w14:paraId="001D487D" w14:textId="53E87501"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XI</w:t>
            </w:r>
          </w:p>
        </w:tc>
        <w:tc>
          <w:tcPr>
            <w:tcW w:w="1984" w:type="pct"/>
            <w:shd w:val="clear" w:color="auto" w:fill="F1F2F0" w:themeFill="text2"/>
          </w:tcPr>
          <w:p w14:paraId="7E729935" w14:textId="26BB44B0"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Routed to NYSE American, Opening/Re-Opening Auction</w:t>
            </w:r>
          </w:p>
        </w:tc>
        <w:tc>
          <w:tcPr>
            <w:tcW w:w="1250" w:type="pct"/>
            <w:shd w:val="clear" w:color="auto" w:fill="F1F2F0" w:themeFill="text2"/>
          </w:tcPr>
          <w:p w14:paraId="0D6C7022" w14:textId="2CAA702E"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$0.00055</w:t>
            </w:r>
          </w:p>
        </w:tc>
        <w:tc>
          <w:tcPr>
            <w:tcW w:w="1250" w:type="pct"/>
            <w:shd w:val="clear" w:color="auto" w:fill="F1F2F0" w:themeFill="text2"/>
          </w:tcPr>
          <w:p w14:paraId="14167D2E" w14:textId="535207EF"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0.055% of Dollar Value</w:t>
            </w:r>
          </w:p>
        </w:tc>
      </w:tr>
      <w:tr w:rsidR="00807789" w:rsidRPr="00BE7892" w14:paraId="2FC7B683" w14:textId="77777777" w:rsidTr="00BD6980">
        <w:tc>
          <w:tcPr>
            <w:tcW w:w="516" w:type="pct"/>
            <w:shd w:val="clear" w:color="auto" w:fill="auto"/>
          </w:tcPr>
          <w:p w14:paraId="7D06BC5B" w14:textId="674F5BB0"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XJ</w:t>
            </w:r>
          </w:p>
        </w:tc>
        <w:tc>
          <w:tcPr>
            <w:tcW w:w="1984" w:type="pct"/>
            <w:shd w:val="clear" w:color="auto" w:fill="auto"/>
          </w:tcPr>
          <w:p w14:paraId="0674EA65" w14:textId="672F1FFE"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Routed to NYSE American, Closing Auction</w:t>
            </w:r>
          </w:p>
        </w:tc>
        <w:tc>
          <w:tcPr>
            <w:tcW w:w="1250" w:type="pct"/>
            <w:shd w:val="clear" w:color="auto" w:fill="auto"/>
          </w:tcPr>
          <w:p w14:paraId="4E50D791" w14:textId="7CDAA46D"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$0.00055</w:t>
            </w:r>
          </w:p>
        </w:tc>
        <w:tc>
          <w:tcPr>
            <w:tcW w:w="1250" w:type="pct"/>
            <w:shd w:val="clear" w:color="auto" w:fill="auto"/>
          </w:tcPr>
          <w:p w14:paraId="0E6ABC55" w14:textId="1ADD5581"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0.055% of Dollar Value</w:t>
            </w:r>
          </w:p>
        </w:tc>
      </w:tr>
      <w:tr w:rsidR="00807789" w:rsidRPr="00BE7892" w14:paraId="5949C68C" w14:textId="77777777" w:rsidTr="00807789">
        <w:tc>
          <w:tcPr>
            <w:tcW w:w="516" w:type="pct"/>
            <w:shd w:val="clear" w:color="auto" w:fill="F1F2F0" w:themeFill="text2"/>
          </w:tcPr>
          <w:p w14:paraId="1BB18AD2" w14:textId="21478259"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XK</w:t>
            </w:r>
          </w:p>
        </w:tc>
        <w:tc>
          <w:tcPr>
            <w:tcW w:w="1984" w:type="pct"/>
            <w:shd w:val="clear" w:color="auto" w:fill="F1F2F0" w:themeFill="text2"/>
          </w:tcPr>
          <w:p w14:paraId="05275BDB" w14:textId="3F26BF0E"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Routed to NYSE American, Adds Displayed Liquidity</w:t>
            </w:r>
          </w:p>
        </w:tc>
        <w:tc>
          <w:tcPr>
            <w:tcW w:w="1250" w:type="pct"/>
            <w:shd w:val="clear" w:color="auto" w:fill="F1F2F0" w:themeFill="text2"/>
          </w:tcPr>
          <w:p w14:paraId="51FB9190" w14:textId="598EB00B"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($0.001)</w:t>
            </w:r>
          </w:p>
        </w:tc>
        <w:tc>
          <w:tcPr>
            <w:tcW w:w="1250" w:type="pct"/>
            <w:shd w:val="clear" w:color="auto" w:fill="F1F2F0" w:themeFill="text2"/>
          </w:tcPr>
          <w:p w14:paraId="3B0C1336" w14:textId="11935BC7"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0.01% of Dollar Value</w:t>
            </w:r>
          </w:p>
        </w:tc>
      </w:tr>
      <w:tr w:rsidR="00807789" w:rsidRPr="00BE7892" w14:paraId="5B49A276" w14:textId="77777777" w:rsidTr="00BD6980">
        <w:tc>
          <w:tcPr>
            <w:tcW w:w="516" w:type="pct"/>
            <w:shd w:val="clear" w:color="auto" w:fill="auto"/>
          </w:tcPr>
          <w:p w14:paraId="7E52D115" w14:textId="446D248D"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XL</w:t>
            </w:r>
          </w:p>
        </w:tc>
        <w:tc>
          <w:tcPr>
            <w:tcW w:w="1984" w:type="pct"/>
            <w:shd w:val="clear" w:color="auto" w:fill="auto"/>
          </w:tcPr>
          <w:p w14:paraId="4A2C05DE" w14:textId="29567CDA"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 xml:space="preserve">Routed to </w:t>
            </w:r>
            <w:proofErr w:type="spellStart"/>
            <w:r w:rsidRPr="00807789">
              <w:rPr>
                <w:rFonts w:cstheme="minorHAnsi"/>
                <w:color w:val="3C4038" w:themeColor="text2" w:themeShade="40"/>
                <w:sz w:val="20"/>
                <w:szCs w:val="20"/>
              </w:rPr>
              <w:t>Cboe</w:t>
            </w:r>
            <w:proofErr w:type="spellEnd"/>
            <w:r w:rsidRPr="00807789">
              <w:rPr>
                <w:rFonts w:cstheme="minorHAnsi"/>
                <w:color w:val="3C4038" w:themeColor="text2" w:themeShade="40"/>
                <w:sz w:val="20"/>
                <w:szCs w:val="20"/>
              </w:rPr>
              <w:t xml:space="preserve"> BZX, Opening/Re-Opening Auction</w:t>
            </w:r>
          </w:p>
        </w:tc>
        <w:tc>
          <w:tcPr>
            <w:tcW w:w="1250" w:type="pct"/>
            <w:shd w:val="clear" w:color="auto" w:fill="auto"/>
          </w:tcPr>
          <w:p w14:paraId="15E9FD94" w14:textId="0A6D8A20"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$0.0008</w:t>
            </w:r>
          </w:p>
        </w:tc>
        <w:tc>
          <w:tcPr>
            <w:tcW w:w="1250" w:type="pct"/>
            <w:shd w:val="clear" w:color="auto" w:fill="auto"/>
          </w:tcPr>
          <w:p w14:paraId="4CB1C7C5" w14:textId="0C4649D9"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0.08% of Dollar Value</w:t>
            </w:r>
          </w:p>
        </w:tc>
      </w:tr>
      <w:tr w:rsidR="00807789" w:rsidRPr="00BE7892" w14:paraId="3A0B6334" w14:textId="77777777" w:rsidTr="00807789">
        <w:tc>
          <w:tcPr>
            <w:tcW w:w="516" w:type="pct"/>
            <w:shd w:val="clear" w:color="auto" w:fill="F1F2F0" w:themeFill="text2"/>
          </w:tcPr>
          <w:p w14:paraId="32EA772A" w14:textId="2F1E0F0B"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XM</w:t>
            </w:r>
          </w:p>
        </w:tc>
        <w:tc>
          <w:tcPr>
            <w:tcW w:w="1984" w:type="pct"/>
            <w:shd w:val="clear" w:color="auto" w:fill="F1F2F0" w:themeFill="text2"/>
          </w:tcPr>
          <w:p w14:paraId="67EA481E" w14:textId="774849CA"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 xml:space="preserve">Routed to </w:t>
            </w:r>
            <w:proofErr w:type="spellStart"/>
            <w:r w:rsidRPr="00807789">
              <w:rPr>
                <w:rFonts w:cstheme="minorHAnsi"/>
                <w:color w:val="3C4038" w:themeColor="text2" w:themeShade="40"/>
                <w:sz w:val="20"/>
                <w:szCs w:val="20"/>
              </w:rPr>
              <w:t>Cboe</w:t>
            </w:r>
            <w:proofErr w:type="spellEnd"/>
            <w:r w:rsidRPr="00807789">
              <w:rPr>
                <w:rFonts w:cstheme="minorHAnsi"/>
                <w:color w:val="3C4038" w:themeColor="text2" w:themeShade="40"/>
                <w:sz w:val="20"/>
                <w:szCs w:val="20"/>
              </w:rPr>
              <w:t xml:space="preserve"> BZX, Closing Auction</w:t>
            </w:r>
          </w:p>
        </w:tc>
        <w:tc>
          <w:tcPr>
            <w:tcW w:w="1250" w:type="pct"/>
            <w:shd w:val="clear" w:color="auto" w:fill="F1F2F0" w:themeFill="text2"/>
          </w:tcPr>
          <w:p w14:paraId="21DD9A24" w14:textId="62A2EF88"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$0.00105</w:t>
            </w:r>
          </w:p>
        </w:tc>
        <w:tc>
          <w:tcPr>
            <w:tcW w:w="1250" w:type="pct"/>
            <w:shd w:val="clear" w:color="auto" w:fill="F1F2F0" w:themeFill="text2"/>
          </w:tcPr>
          <w:p w14:paraId="4D6F187D" w14:textId="73B2A864"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0.105% of Dollar Value</w:t>
            </w:r>
          </w:p>
        </w:tc>
      </w:tr>
      <w:tr w:rsidR="00807789" w:rsidRPr="00BE7892" w14:paraId="05180CD8" w14:textId="77777777" w:rsidTr="00BD6980">
        <w:tc>
          <w:tcPr>
            <w:tcW w:w="516" w:type="pct"/>
            <w:shd w:val="clear" w:color="auto" w:fill="auto"/>
          </w:tcPr>
          <w:p w14:paraId="61E99C07" w14:textId="2E7AE454"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XN</w:t>
            </w:r>
          </w:p>
        </w:tc>
        <w:tc>
          <w:tcPr>
            <w:tcW w:w="1984" w:type="pct"/>
            <w:shd w:val="clear" w:color="auto" w:fill="auto"/>
          </w:tcPr>
          <w:p w14:paraId="5A13A616" w14:textId="0C08E86B"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 xml:space="preserve">Routed to </w:t>
            </w:r>
            <w:proofErr w:type="spellStart"/>
            <w:r w:rsidRPr="00807789">
              <w:rPr>
                <w:rFonts w:cstheme="minorHAnsi"/>
                <w:color w:val="3C4038" w:themeColor="text2" w:themeShade="40"/>
                <w:sz w:val="20"/>
                <w:szCs w:val="20"/>
              </w:rPr>
              <w:t>Cboe</w:t>
            </w:r>
            <w:proofErr w:type="spellEnd"/>
            <w:r w:rsidRPr="00807789">
              <w:rPr>
                <w:rFonts w:cstheme="minorHAnsi"/>
                <w:color w:val="3C4038" w:themeColor="text2" w:themeShade="40"/>
                <w:sz w:val="20"/>
                <w:szCs w:val="20"/>
              </w:rPr>
              <w:t xml:space="preserve"> BZX, Adds Displayed Liquidity</w:t>
            </w:r>
          </w:p>
        </w:tc>
        <w:tc>
          <w:tcPr>
            <w:tcW w:w="1250" w:type="pct"/>
            <w:shd w:val="clear" w:color="auto" w:fill="auto"/>
          </w:tcPr>
          <w:p w14:paraId="3ED78943" w14:textId="587BE7B3"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($0.0015)</w:t>
            </w:r>
          </w:p>
        </w:tc>
        <w:tc>
          <w:tcPr>
            <w:tcW w:w="1250" w:type="pct"/>
            <w:shd w:val="clear" w:color="auto" w:fill="auto"/>
          </w:tcPr>
          <w:p w14:paraId="6DB99F10" w14:textId="28A8092D"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0.01% of Dollar Value</w:t>
            </w:r>
          </w:p>
        </w:tc>
      </w:tr>
      <w:tr w:rsidR="00807789" w:rsidRPr="00BE7892" w14:paraId="67FF7041" w14:textId="77777777" w:rsidTr="00807789">
        <w:tc>
          <w:tcPr>
            <w:tcW w:w="516" w:type="pct"/>
            <w:shd w:val="clear" w:color="auto" w:fill="F1F2F0" w:themeFill="text2"/>
          </w:tcPr>
          <w:p w14:paraId="06B180D5" w14:textId="06DB5FB7"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XO</w:t>
            </w:r>
          </w:p>
        </w:tc>
        <w:tc>
          <w:tcPr>
            <w:tcW w:w="1984" w:type="pct"/>
            <w:shd w:val="clear" w:color="auto" w:fill="F1F2F0" w:themeFill="text2"/>
          </w:tcPr>
          <w:p w14:paraId="62A80DFE" w14:textId="24E20CA3"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Routed to Nasdaq, Opening/Re-Opening Auction</w:t>
            </w:r>
          </w:p>
        </w:tc>
        <w:tc>
          <w:tcPr>
            <w:tcW w:w="1250" w:type="pct"/>
            <w:shd w:val="clear" w:color="auto" w:fill="F1F2F0" w:themeFill="text2"/>
          </w:tcPr>
          <w:p w14:paraId="642DC654" w14:textId="4839B2C6"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$0.00155</w:t>
            </w:r>
          </w:p>
        </w:tc>
        <w:tc>
          <w:tcPr>
            <w:tcW w:w="1250" w:type="pct"/>
            <w:shd w:val="clear" w:color="auto" w:fill="F1F2F0" w:themeFill="text2"/>
          </w:tcPr>
          <w:p w14:paraId="4B1E646C" w14:textId="63599E06"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0.30% of Dollar Value</w:t>
            </w:r>
          </w:p>
        </w:tc>
      </w:tr>
      <w:tr w:rsidR="00807789" w:rsidRPr="00BE7892" w14:paraId="294BFBA5" w14:textId="77777777" w:rsidTr="00BD6980">
        <w:tc>
          <w:tcPr>
            <w:tcW w:w="516" w:type="pct"/>
            <w:shd w:val="clear" w:color="auto" w:fill="auto"/>
          </w:tcPr>
          <w:p w14:paraId="4D825277" w14:textId="08FF236E"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XP</w:t>
            </w:r>
          </w:p>
        </w:tc>
        <w:tc>
          <w:tcPr>
            <w:tcW w:w="1984" w:type="pct"/>
            <w:shd w:val="clear" w:color="auto" w:fill="auto"/>
          </w:tcPr>
          <w:p w14:paraId="1BA28BCE" w14:textId="5200EB5A"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Routed to Nasdaq, Closing Auction</w:t>
            </w:r>
          </w:p>
        </w:tc>
        <w:tc>
          <w:tcPr>
            <w:tcW w:w="1250" w:type="pct"/>
            <w:shd w:val="clear" w:color="auto" w:fill="auto"/>
          </w:tcPr>
          <w:p w14:paraId="45DA18E1" w14:textId="44EFB4F0"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$0.00085</w:t>
            </w:r>
          </w:p>
        </w:tc>
        <w:tc>
          <w:tcPr>
            <w:tcW w:w="1250" w:type="pct"/>
            <w:shd w:val="clear" w:color="auto" w:fill="auto"/>
          </w:tcPr>
          <w:p w14:paraId="5AF94EAC" w14:textId="1DF6AA15"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0.09% of Dollar Value</w:t>
            </w:r>
          </w:p>
        </w:tc>
      </w:tr>
      <w:tr w:rsidR="00807789" w:rsidRPr="00BE7892" w14:paraId="755A8233" w14:textId="77777777" w:rsidTr="00807789">
        <w:tc>
          <w:tcPr>
            <w:tcW w:w="516" w:type="pct"/>
            <w:shd w:val="clear" w:color="auto" w:fill="F1F2F0" w:themeFill="text2"/>
          </w:tcPr>
          <w:p w14:paraId="6301B6A4" w14:textId="42476BB4"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XQ</w:t>
            </w:r>
          </w:p>
        </w:tc>
        <w:tc>
          <w:tcPr>
            <w:tcW w:w="1984" w:type="pct"/>
            <w:shd w:val="clear" w:color="auto" w:fill="F1F2F0" w:themeFill="text2"/>
          </w:tcPr>
          <w:p w14:paraId="53C89947" w14:textId="7CEB3C57" w:rsidR="00807789" w:rsidRPr="00795815" w:rsidRDefault="00807789" w:rsidP="00807789">
            <w:pPr>
              <w:rPr>
                <w:rFonts w:cstheme="minorHAnsi"/>
                <w:color w:val="3C4038" w:themeColor="text2" w:themeShade="40"/>
                <w:sz w:val="20"/>
                <w:szCs w:val="20"/>
              </w:rPr>
            </w:pPr>
            <w:r w:rsidRPr="00807789">
              <w:rPr>
                <w:rFonts w:cstheme="minorHAnsi"/>
                <w:color w:val="3C4038" w:themeColor="text2" w:themeShade="40"/>
                <w:sz w:val="20"/>
                <w:szCs w:val="20"/>
              </w:rPr>
              <w:t>Routed to Nasdaq, Adds Displayed Liquidity</w:t>
            </w:r>
          </w:p>
        </w:tc>
        <w:tc>
          <w:tcPr>
            <w:tcW w:w="1250" w:type="pct"/>
            <w:shd w:val="clear" w:color="auto" w:fill="F1F2F0" w:themeFill="text2"/>
          </w:tcPr>
          <w:p w14:paraId="51AD219E" w14:textId="556DF283"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($0.0015)</w:t>
            </w:r>
          </w:p>
        </w:tc>
        <w:tc>
          <w:tcPr>
            <w:tcW w:w="1250" w:type="pct"/>
            <w:shd w:val="clear" w:color="auto" w:fill="F1F2F0" w:themeFill="text2"/>
          </w:tcPr>
          <w:p w14:paraId="79EF88A8" w14:textId="18F1B30D" w:rsidR="00807789" w:rsidRPr="00795815" w:rsidRDefault="00807789" w:rsidP="00807789">
            <w:pPr>
              <w:jc w:val="center"/>
              <w:rPr>
                <w:rFonts w:cstheme="minorHAnsi"/>
                <w:color w:val="3C4038" w:themeColor="text2" w:themeShade="40"/>
                <w:sz w:val="20"/>
                <w:szCs w:val="20"/>
              </w:rPr>
            </w:pPr>
            <w:r w:rsidRPr="00807789">
              <w:rPr>
                <w:rFonts w:cstheme="minorHAnsi"/>
                <w:color w:val="3C4038" w:themeColor="text2" w:themeShade="40"/>
                <w:sz w:val="20"/>
                <w:szCs w:val="20"/>
              </w:rPr>
              <w:t>0.01% of Dollar Value</w:t>
            </w:r>
          </w:p>
        </w:tc>
      </w:tr>
    </w:tbl>
    <w:p w14:paraId="40C59C2E" w14:textId="77777777" w:rsidR="00130D45" w:rsidRDefault="00130D45" w:rsidP="00C46F3D">
      <w:pPr>
        <w:pStyle w:val="Heading2"/>
        <w:ind w:left="360"/>
      </w:pPr>
    </w:p>
    <w:p w14:paraId="72521DB4" w14:textId="77777777" w:rsidR="00130D45" w:rsidRDefault="00130D45" w:rsidP="00C46F3D">
      <w:pPr>
        <w:pStyle w:val="Heading2"/>
        <w:ind w:left="360"/>
      </w:pPr>
    </w:p>
    <w:p w14:paraId="52F671F6" w14:textId="77777777" w:rsidR="00130D45" w:rsidRDefault="00130D45" w:rsidP="00C46F3D">
      <w:pPr>
        <w:pStyle w:val="Heading2"/>
        <w:ind w:left="360"/>
      </w:pPr>
    </w:p>
    <w:p w14:paraId="5DE62AF3" w14:textId="77777777" w:rsidR="00130D45" w:rsidRDefault="00130D45" w:rsidP="00C46F3D">
      <w:pPr>
        <w:pStyle w:val="Heading2"/>
        <w:ind w:left="360"/>
      </w:pPr>
    </w:p>
    <w:p w14:paraId="55B38FA2" w14:textId="77777777" w:rsidR="00130D45" w:rsidRDefault="00130D45" w:rsidP="00C46F3D">
      <w:pPr>
        <w:pStyle w:val="Heading2"/>
        <w:ind w:left="360"/>
      </w:pPr>
    </w:p>
    <w:p w14:paraId="3862C233" w14:textId="77777777" w:rsidR="00130D45" w:rsidRDefault="00130D45" w:rsidP="00C46F3D">
      <w:pPr>
        <w:pStyle w:val="Heading2"/>
        <w:ind w:left="360"/>
      </w:pPr>
    </w:p>
    <w:p w14:paraId="60BC5032" w14:textId="77777777" w:rsidR="00130D45" w:rsidRDefault="00130D45" w:rsidP="00C46F3D">
      <w:pPr>
        <w:pStyle w:val="Heading2"/>
        <w:ind w:left="360"/>
      </w:pPr>
    </w:p>
    <w:p w14:paraId="4CCAE9F2" w14:textId="77777777" w:rsidR="00130D45" w:rsidRDefault="00130D45" w:rsidP="00C46F3D">
      <w:pPr>
        <w:pStyle w:val="Heading2"/>
        <w:ind w:left="360"/>
      </w:pPr>
    </w:p>
    <w:p w14:paraId="4E41B6CF" w14:textId="77777777" w:rsidR="00130D45" w:rsidRDefault="00130D45" w:rsidP="00C46F3D">
      <w:pPr>
        <w:pStyle w:val="Heading2"/>
        <w:ind w:left="360"/>
      </w:pPr>
    </w:p>
    <w:p w14:paraId="66F622CB" w14:textId="77777777" w:rsidR="00130D45" w:rsidRDefault="00130D45" w:rsidP="00C46F3D">
      <w:pPr>
        <w:pStyle w:val="Heading2"/>
        <w:ind w:left="360"/>
      </w:pPr>
    </w:p>
    <w:p w14:paraId="63E2407E" w14:textId="77777777" w:rsidR="00130D45" w:rsidRDefault="00130D45" w:rsidP="00C46F3D">
      <w:pPr>
        <w:pStyle w:val="Heading2"/>
        <w:ind w:left="360"/>
      </w:pPr>
    </w:p>
    <w:p w14:paraId="66E8CD33" w14:textId="77777777" w:rsidR="00130D45" w:rsidRDefault="00130D45" w:rsidP="00C46F3D">
      <w:pPr>
        <w:pStyle w:val="Heading2"/>
        <w:ind w:left="360"/>
      </w:pPr>
    </w:p>
    <w:p w14:paraId="7003F0CF" w14:textId="77777777" w:rsidR="00130D45" w:rsidRDefault="00130D45" w:rsidP="00C46F3D">
      <w:pPr>
        <w:pStyle w:val="Heading2"/>
        <w:ind w:left="360"/>
      </w:pPr>
    </w:p>
    <w:p w14:paraId="1733858E" w14:textId="77777777" w:rsidR="00130D45" w:rsidRDefault="00130D45" w:rsidP="00C46F3D">
      <w:pPr>
        <w:pStyle w:val="Heading2"/>
        <w:ind w:left="360"/>
      </w:pPr>
    </w:p>
    <w:p w14:paraId="41B4C2CA" w14:textId="77777777" w:rsidR="00130D45" w:rsidRDefault="00130D45" w:rsidP="00C46F3D">
      <w:pPr>
        <w:pStyle w:val="Heading2"/>
        <w:ind w:left="360"/>
      </w:pPr>
    </w:p>
    <w:p w14:paraId="44FD596B" w14:textId="77777777" w:rsidR="00130D45" w:rsidRDefault="00130D45" w:rsidP="00C46F3D">
      <w:pPr>
        <w:pStyle w:val="Heading2"/>
        <w:ind w:left="360"/>
      </w:pPr>
    </w:p>
    <w:p w14:paraId="2EFA6C2B" w14:textId="77777777" w:rsidR="00130D45" w:rsidRDefault="00130D45" w:rsidP="00C46F3D">
      <w:pPr>
        <w:pStyle w:val="Heading2"/>
        <w:ind w:left="360"/>
      </w:pPr>
    </w:p>
    <w:p w14:paraId="0ED8343C" w14:textId="77777777" w:rsidR="00130D45" w:rsidRDefault="00130D45" w:rsidP="00C46F3D">
      <w:pPr>
        <w:pStyle w:val="Heading2"/>
        <w:ind w:left="360"/>
      </w:pPr>
    </w:p>
    <w:p w14:paraId="4B8677BD" w14:textId="77777777" w:rsidR="00130D45" w:rsidRDefault="00130D45" w:rsidP="00C46F3D">
      <w:pPr>
        <w:pStyle w:val="Heading2"/>
        <w:ind w:left="360"/>
      </w:pPr>
    </w:p>
    <w:p w14:paraId="3153BC91" w14:textId="77777777" w:rsidR="00130D45" w:rsidRDefault="00130D45" w:rsidP="00C46F3D">
      <w:pPr>
        <w:pStyle w:val="Heading2"/>
        <w:ind w:left="360"/>
      </w:pPr>
    </w:p>
    <w:p w14:paraId="50BC07AD" w14:textId="77777777" w:rsidR="00130D45" w:rsidRDefault="00130D45" w:rsidP="00C46F3D">
      <w:pPr>
        <w:pStyle w:val="Heading2"/>
        <w:ind w:left="360"/>
      </w:pPr>
    </w:p>
    <w:p w14:paraId="250E425E" w14:textId="77777777" w:rsidR="00130D45" w:rsidRDefault="00130D45" w:rsidP="00C46F3D">
      <w:pPr>
        <w:pStyle w:val="Heading2"/>
        <w:ind w:left="360"/>
      </w:pPr>
    </w:p>
    <w:p w14:paraId="1FFEA800" w14:textId="77777777" w:rsidR="00130D45" w:rsidRDefault="00130D45" w:rsidP="00C46F3D">
      <w:pPr>
        <w:pStyle w:val="Heading2"/>
        <w:ind w:left="360"/>
      </w:pPr>
    </w:p>
    <w:p w14:paraId="5D626CD8" w14:textId="77777777" w:rsidR="00130D45" w:rsidRDefault="00130D45" w:rsidP="00C46F3D">
      <w:pPr>
        <w:pStyle w:val="Heading2"/>
        <w:ind w:left="360"/>
      </w:pPr>
    </w:p>
    <w:p w14:paraId="0DB11508" w14:textId="77777777" w:rsidR="00130D45" w:rsidRDefault="00130D45" w:rsidP="00C46F3D">
      <w:pPr>
        <w:pStyle w:val="Heading2"/>
        <w:ind w:left="360"/>
      </w:pPr>
    </w:p>
    <w:p w14:paraId="3CFC422F" w14:textId="77777777" w:rsidR="00130D45" w:rsidRDefault="00130D45" w:rsidP="00C46F3D">
      <w:pPr>
        <w:pStyle w:val="Heading2"/>
        <w:ind w:left="360"/>
      </w:pPr>
    </w:p>
    <w:p w14:paraId="7CDAB219" w14:textId="49F7A831" w:rsidR="00C46F3D" w:rsidRPr="008133AE" w:rsidRDefault="00C46F3D" w:rsidP="00C46F3D">
      <w:pPr>
        <w:pStyle w:val="Heading2"/>
        <w:ind w:left="360"/>
      </w:pPr>
      <w:bookmarkStart w:id="8" w:name="_Toc110949408"/>
      <w:r>
        <w:lastRenderedPageBreak/>
        <w:t>c</w:t>
      </w:r>
      <w:r w:rsidRPr="008133AE">
        <w:t xml:space="preserve">) </w:t>
      </w:r>
      <w:r w:rsidR="00643A05">
        <w:t>Add Volume Tiers</w:t>
      </w:r>
      <w:bookmarkEnd w:id="8"/>
      <w:r w:rsidRPr="008133AE">
        <w:t xml:space="preserve"> </w:t>
      </w:r>
    </w:p>
    <w:p w14:paraId="6CEF6D8E" w14:textId="77777777" w:rsidR="00C46F3D" w:rsidRPr="00AF386E" w:rsidRDefault="00C46F3D" w:rsidP="00C46F3D">
      <w:pPr>
        <w:rPr>
          <w:i/>
        </w:rPr>
      </w:pPr>
    </w:p>
    <w:tbl>
      <w:tblPr>
        <w:tblStyle w:val="TableGrid"/>
        <w:tblW w:w="5052" w:type="pct"/>
        <w:tblBorders>
          <w:top w:val="single" w:sz="4" w:space="0" w:color="A6A6A6" w:themeColor="accent2"/>
          <w:left w:val="single" w:sz="4" w:space="0" w:color="A6A6A6" w:themeColor="accent2"/>
          <w:bottom w:val="single" w:sz="4" w:space="0" w:color="A6A6A6" w:themeColor="accent2"/>
          <w:right w:val="single" w:sz="4" w:space="0" w:color="A6A6A6" w:themeColor="accent2"/>
          <w:insideH w:val="single" w:sz="4" w:space="0" w:color="A6A6A6" w:themeColor="accent2"/>
          <w:insideV w:val="single" w:sz="4" w:space="0" w:color="A6A6A6" w:themeColor="accent2"/>
        </w:tblBorders>
        <w:tblLook w:val="04A0" w:firstRow="1" w:lastRow="0" w:firstColumn="1" w:lastColumn="0" w:noHBand="0" w:noVBand="1"/>
      </w:tblPr>
      <w:tblGrid>
        <w:gridCol w:w="3471"/>
        <w:gridCol w:w="3473"/>
        <w:gridCol w:w="3580"/>
      </w:tblGrid>
      <w:tr w:rsidR="009748AD" w:rsidRPr="008133AE" w14:paraId="6DBE64AD" w14:textId="77777777" w:rsidTr="009C5AA9">
        <w:tc>
          <w:tcPr>
            <w:tcW w:w="1649" w:type="pct"/>
            <w:shd w:val="clear" w:color="auto" w:fill="414041" w:themeFill="text1"/>
            <w:vAlign w:val="bottom"/>
          </w:tcPr>
          <w:p w14:paraId="03A6F0B8" w14:textId="77777777" w:rsidR="009748AD" w:rsidRDefault="009748AD" w:rsidP="009748AD">
            <w:pPr>
              <w:jc w:val="center"/>
              <w:rPr>
                <w:b/>
                <w:bCs/>
                <w:color w:val="FFFFFF" w:themeColor="background1"/>
                <w:sz w:val="20"/>
                <w:szCs w:val="20"/>
              </w:rPr>
            </w:pPr>
            <w:r>
              <w:rPr>
                <w:b/>
                <w:bCs/>
                <w:color w:val="FFFFFF" w:themeColor="background1"/>
                <w:sz w:val="20"/>
                <w:szCs w:val="20"/>
              </w:rPr>
              <w:t>Tier</w:t>
            </w:r>
          </w:p>
          <w:p w14:paraId="384ABFD2" w14:textId="4DE5CAEE" w:rsidR="00513BDF" w:rsidRPr="003C376C" w:rsidRDefault="00513BDF" w:rsidP="009748AD">
            <w:pPr>
              <w:jc w:val="center"/>
              <w:rPr>
                <w:b/>
                <w:bCs/>
                <w:color w:val="FFFFFF" w:themeColor="background1"/>
                <w:sz w:val="20"/>
                <w:szCs w:val="20"/>
              </w:rPr>
            </w:pPr>
          </w:p>
        </w:tc>
        <w:tc>
          <w:tcPr>
            <w:tcW w:w="1650" w:type="pct"/>
            <w:shd w:val="clear" w:color="auto" w:fill="414041" w:themeFill="text1"/>
            <w:vAlign w:val="bottom"/>
          </w:tcPr>
          <w:p w14:paraId="30FAAB1A" w14:textId="77777777" w:rsidR="009748AD" w:rsidRDefault="009748AD" w:rsidP="009748AD">
            <w:pPr>
              <w:jc w:val="center"/>
              <w:rPr>
                <w:b/>
                <w:bCs/>
                <w:color w:val="FFFFFF" w:themeColor="background1"/>
                <w:sz w:val="20"/>
                <w:szCs w:val="20"/>
              </w:rPr>
            </w:pPr>
            <w:r>
              <w:rPr>
                <w:b/>
                <w:bCs/>
                <w:color w:val="FFFFFF" w:themeColor="background1"/>
                <w:sz w:val="20"/>
                <w:szCs w:val="20"/>
              </w:rPr>
              <w:t>Percentage Thresholds</w:t>
            </w:r>
          </w:p>
          <w:p w14:paraId="26ADB009" w14:textId="4D542ACC" w:rsidR="00513BDF" w:rsidRPr="003C376C" w:rsidRDefault="00513BDF" w:rsidP="009748AD">
            <w:pPr>
              <w:jc w:val="center"/>
              <w:rPr>
                <w:b/>
                <w:bCs/>
                <w:color w:val="FFFFFF" w:themeColor="background1"/>
                <w:sz w:val="20"/>
                <w:szCs w:val="20"/>
              </w:rPr>
            </w:pPr>
          </w:p>
        </w:tc>
        <w:tc>
          <w:tcPr>
            <w:tcW w:w="1701" w:type="pct"/>
            <w:shd w:val="clear" w:color="auto" w:fill="414041" w:themeFill="text1"/>
            <w:vAlign w:val="bottom"/>
          </w:tcPr>
          <w:p w14:paraId="70470D74" w14:textId="1F409CE4" w:rsidR="009748AD" w:rsidRPr="003C376C" w:rsidRDefault="009748AD" w:rsidP="009748AD">
            <w:pPr>
              <w:jc w:val="center"/>
              <w:rPr>
                <w:b/>
                <w:bCs/>
                <w:color w:val="FFFFFF" w:themeColor="background1"/>
                <w:sz w:val="20"/>
                <w:szCs w:val="20"/>
              </w:rPr>
            </w:pPr>
            <w:r>
              <w:rPr>
                <w:b/>
                <w:bCs/>
                <w:color w:val="FFFFFF" w:themeColor="background1"/>
                <w:sz w:val="20"/>
                <w:szCs w:val="20"/>
              </w:rPr>
              <w:t>Securities Priced at or Above $1.00</w:t>
            </w:r>
          </w:p>
        </w:tc>
      </w:tr>
      <w:tr w:rsidR="009748AD" w:rsidRPr="008133AE" w14:paraId="7817AFEC" w14:textId="77777777" w:rsidTr="009C5AA9">
        <w:tc>
          <w:tcPr>
            <w:tcW w:w="1649" w:type="pct"/>
            <w:tcBorders>
              <w:top w:val="single" w:sz="4" w:space="0" w:color="auto"/>
              <w:left w:val="single" w:sz="4" w:space="0" w:color="auto"/>
              <w:bottom w:val="single" w:sz="4" w:space="0" w:color="auto"/>
              <w:right w:val="single" w:sz="4" w:space="0" w:color="auto"/>
            </w:tcBorders>
          </w:tcPr>
          <w:p w14:paraId="22EE5A87" w14:textId="5F5CFE4E" w:rsidR="009748AD" w:rsidRPr="009748AD" w:rsidRDefault="009748AD" w:rsidP="009748AD">
            <w:pPr>
              <w:jc w:val="center"/>
              <w:rPr>
                <w:bCs/>
                <w:color w:val="414041" w:themeColor="text1"/>
                <w:sz w:val="20"/>
                <w:szCs w:val="20"/>
              </w:rPr>
            </w:pPr>
            <w:r w:rsidRPr="009748AD">
              <w:rPr>
                <w:bCs/>
                <w:color w:val="414041" w:themeColor="text1"/>
                <w:sz w:val="20"/>
                <w:szCs w:val="20"/>
              </w:rPr>
              <w:t>1</w:t>
            </w:r>
          </w:p>
        </w:tc>
        <w:tc>
          <w:tcPr>
            <w:tcW w:w="1650" w:type="pct"/>
            <w:tcBorders>
              <w:top w:val="single" w:sz="4" w:space="0" w:color="auto"/>
              <w:left w:val="single" w:sz="4" w:space="0" w:color="auto"/>
              <w:bottom w:val="single" w:sz="4" w:space="0" w:color="auto"/>
              <w:right w:val="single" w:sz="4" w:space="0" w:color="auto"/>
            </w:tcBorders>
          </w:tcPr>
          <w:p w14:paraId="2D13B0B4" w14:textId="24337B4B" w:rsidR="009748AD" w:rsidRPr="009748AD" w:rsidRDefault="009748AD" w:rsidP="009748AD">
            <w:pPr>
              <w:jc w:val="center"/>
              <w:rPr>
                <w:bCs/>
                <w:color w:val="414041" w:themeColor="text1"/>
                <w:sz w:val="20"/>
                <w:szCs w:val="20"/>
              </w:rPr>
            </w:pPr>
            <w:r w:rsidRPr="009748AD">
              <w:rPr>
                <w:bCs/>
                <w:color w:val="414041" w:themeColor="text1"/>
                <w:sz w:val="20"/>
                <w:szCs w:val="20"/>
              </w:rPr>
              <w:t>ADAV ≥ 0.07% of TCV</w:t>
            </w:r>
          </w:p>
        </w:tc>
        <w:tc>
          <w:tcPr>
            <w:tcW w:w="1701" w:type="pct"/>
            <w:tcBorders>
              <w:top w:val="single" w:sz="4" w:space="0" w:color="auto"/>
              <w:left w:val="single" w:sz="4" w:space="0" w:color="auto"/>
              <w:bottom w:val="single" w:sz="4" w:space="0" w:color="auto"/>
              <w:right w:val="single" w:sz="4" w:space="0" w:color="auto"/>
            </w:tcBorders>
          </w:tcPr>
          <w:p w14:paraId="676EC40D" w14:textId="36786E11" w:rsidR="009748AD" w:rsidRPr="009748AD" w:rsidRDefault="009748AD" w:rsidP="009748AD">
            <w:pPr>
              <w:jc w:val="center"/>
              <w:rPr>
                <w:bCs/>
                <w:color w:val="414041" w:themeColor="text1"/>
                <w:sz w:val="20"/>
                <w:szCs w:val="20"/>
              </w:rPr>
            </w:pPr>
            <w:r w:rsidRPr="009748AD">
              <w:rPr>
                <w:bCs/>
                <w:color w:val="414041" w:themeColor="text1"/>
                <w:sz w:val="20"/>
                <w:szCs w:val="20"/>
              </w:rPr>
              <w:t>($0.0032)</w:t>
            </w:r>
          </w:p>
        </w:tc>
      </w:tr>
      <w:tr w:rsidR="009748AD" w:rsidRPr="008133AE" w14:paraId="45BDFD17" w14:textId="77777777" w:rsidTr="009C5AA9">
        <w:trPr>
          <w:trHeight w:val="70"/>
        </w:trPr>
        <w:tc>
          <w:tcPr>
            <w:tcW w:w="1649" w:type="pct"/>
            <w:tcBorders>
              <w:top w:val="single" w:sz="4" w:space="0" w:color="auto"/>
              <w:left w:val="single" w:sz="4" w:space="0" w:color="auto"/>
              <w:bottom w:val="single" w:sz="4" w:space="0" w:color="auto"/>
              <w:right w:val="single" w:sz="4" w:space="0" w:color="auto"/>
            </w:tcBorders>
            <w:shd w:val="clear" w:color="auto" w:fill="F1F2F0" w:themeFill="text2"/>
          </w:tcPr>
          <w:p w14:paraId="3FC4E699" w14:textId="7609F417" w:rsidR="009748AD" w:rsidRPr="009748AD" w:rsidRDefault="009748AD" w:rsidP="009748AD">
            <w:pPr>
              <w:jc w:val="center"/>
              <w:rPr>
                <w:bCs/>
                <w:color w:val="414041" w:themeColor="text1"/>
                <w:sz w:val="20"/>
                <w:szCs w:val="20"/>
              </w:rPr>
            </w:pPr>
            <w:r w:rsidRPr="009748AD">
              <w:rPr>
                <w:bCs/>
                <w:color w:val="414041" w:themeColor="text1"/>
                <w:sz w:val="20"/>
                <w:szCs w:val="20"/>
              </w:rPr>
              <w:t>2</w:t>
            </w:r>
          </w:p>
        </w:tc>
        <w:tc>
          <w:tcPr>
            <w:tcW w:w="1650" w:type="pct"/>
            <w:tcBorders>
              <w:top w:val="single" w:sz="4" w:space="0" w:color="auto"/>
              <w:left w:val="single" w:sz="4" w:space="0" w:color="auto"/>
              <w:bottom w:val="single" w:sz="4" w:space="0" w:color="auto"/>
              <w:right w:val="single" w:sz="4" w:space="0" w:color="auto"/>
            </w:tcBorders>
            <w:shd w:val="clear" w:color="auto" w:fill="F1F2F0" w:themeFill="text2"/>
          </w:tcPr>
          <w:p w14:paraId="7FCF4AC7" w14:textId="7446FA55" w:rsidR="009748AD" w:rsidRPr="009748AD" w:rsidRDefault="009748AD" w:rsidP="009748AD">
            <w:pPr>
              <w:jc w:val="center"/>
              <w:rPr>
                <w:bCs/>
                <w:color w:val="414041" w:themeColor="text1"/>
                <w:sz w:val="20"/>
                <w:szCs w:val="20"/>
              </w:rPr>
            </w:pPr>
            <w:r w:rsidRPr="009748AD">
              <w:rPr>
                <w:bCs/>
                <w:color w:val="414041" w:themeColor="text1"/>
                <w:sz w:val="20"/>
                <w:szCs w:val="20"/>
              </w:rPr>
              <w:t>ADAV ≥ 0.10% of TCV</w:t>
            </w:r>
          </w:p>
        </w:tc>
        <w:tc>
          <w:tcPr>
            <w:tcW w:w="1701" w:type="pct"/>
            <w:tcBorders>
              <w:top w:val="single" w:sz="4" w:space="0" w:color="auto"/>
              <w:left w:val="single" w:sz="4" w:space="0" w:color="auto"/>
              <w:bottom w:val="single" w:sz="4" w:space="0" w:color="auto"/>
              <w:right w:val="single" w:sz="4" w:space="0" w:color="auto"/>
            </w:tcBorders>
            <w:shd w:val="clear" w:color="auto" w:fill="F1F2F0" w:themeFill="text2"/>
          </w:tcPr>
          <w:p w14:paraId="4E74B445" w14:textId="7A31D380" w:rsidR="009748AD" w:rsidRPr="009748AD" w:rsidRDefault="009748AD" w:rsidP="009748AD">
            <w:pPr>
              <w:jc w:val="center"/>
              <w:rPr>
                <w:bCs/>
                <w:color w:val="414041" w:themeColor="text1"/>
                <w:sz w:val="20"/>
                <w:szCs w:val="20"/>
              </w:rPr>
            </w:pPr>
            <w:r w:rsidRPr="009748AD">
              <w:rPr>
                <w:bCs/>
                <w:color w:val="414041" w:themeColor="text1"/>
                <w:sz w:val="20"/>
                <w:szCs w:val="20"/>
              </w:rPr>
              <w:t>($0.0035)</w:t>
            </w:r>
          </w:p>
        </w:tc>
      </w:tr>
      <w:tr w:rsidR="009748AD" w:rsidRPr="008133AE" w14:paraId="1044A702" w14:textId="77777777" w:rsidTr="009C5AA9">
        <w:trPr>
          <w:trHeight w:val="70"/>
        </w:trPr>
        <w:tc>
          <w:tcPr>
            <w:tcW w:w="1649" w:type="pct"/>
            <w:tcBorders>
              <w:top w:val="single" w:sz="4" w:space="0" w:color="auto"/>
              <w:left w:val="single" w:sz="4" w:space="0" w:color="auto"/>
              <w:bottom w:val="single" w:sz="4" w:space="0" w:color="auto"/>
              <w:right w:val="single" w:sz="4" w:space="0" w:color="auto"/>
            </w:tcBorders>
          </w:tcPr>
          <w:p w14:paraId="189F0359" w14:textId="648BBC00" w:rsidR="009748AD" w:rsidRPr="009748AD" w:rsidRDefault="009748AD" w:rsidP="009748AD">
            <w:pPr>
              <w:jc w:val="center"/>
              <w:rPr>
                <w:bCs/>
                <w:color w:val="414041" w:themeColor="text1"/>
                <w:sz w:val="20"/>
                <w:szCs w:val="20"/>
              </w:rPr>
            </w:pPr>
            <w:r w:rsidRPr="009748AD">
              <w:rPr>
                <w:bCs/>
                <w:color w:val="414041" w:themeColor="text1"/>
                <w:sz w:val="20"/>
                <w:szCs w:val="20"/>
              </w:rPr>
              <w:t>3</w:t>
            </w:r>
          </w:p>
        </w:tc>
        <w:tc>
          <w:tcPr>
            <w:tcW w:w="1650" w:type="pct"/>
            <w:tcBorders>
              <w:top w:val="single" w:sz="4" w:space="0" w:color="auto"/>
              <w:left w:val="single" w:sz="4" w:space="0" w:color="auto"/>
              <w:bottom w:val="single" w:sz="4" w:space="0" w:color="auto"/>
              <w:right w:val="single" w:sz="4" w:space="0" w:color="auto"/>
            </w:tcBorders>
          </w:tcPr>
          <w:p w14:paraId="275030D8" w14:textId="5FB8386B" w:rsidR="009748AD" w:rsidRPr="009748AD" w:rsidRDefault="009748AD" w:rsidP="009748AD">
            <w:pPr>
              <w:jc w:val="center"/>
              <w:rPr>
                <w:bCs/>
                <w:color w:val="414041" w:themeColor="text1"/>
                <w:sz w:val="20"/>
                <w:szCs w:val="20"/>
              </w:rPr>
            </w:pPr>
            <w:r w:rsidRPr="009748AD">
              <w:rPr>
                <w:bCs/>
                <w:color w:val="414041" w:themeColor="text1"/>
                <w:sz w:val="20"/>
                <w:szCs w:val="20"/>
              </w:rPr>
              <w:t>ADAV ≥ 0.20% of TCV</w:t>
            </w:r>
          </w:p>
        </w:tc>
        <w:tc>
          <w:tcPr>
            <w:tcW w:w="1701" w:type="pct"/>
            <w:tcBorders>
              <w:top w:val="single" w:sz="4" w:space="0" w:color="auto"/>
              <w:left w:val="single" w:sz="4" w:space="0" w:color="auto"/>
              <w:bottom w:val="single" w:sz="4" w:space="0" w:color="auto"/>
              <w:right w:val="single" w:sz="4" w:space="0" w:color="auto"/>
            </w:tcBorders>
          </w:tcPr>
          <w:p w14:paraId="4A6E9B32" w14:textId="39595AB5" w:rsidR="009748AD" w:rsidRPr="009748AD" w:rsidRDefault="009748AD" w:rsidP="009748AD">
            <w:pPr>
              <w:jc w:val="center"/>
              <w:rPr>
                <w:bCs/>
                <w:color w:val="414041" w:themeColor="text1"/>
                <w:sz w:val="20"/>
                <w:szCs w:val="20"/>
              </w:rPr>
            </w:pPr>
            <w:r w:rsidRPr="009748AD">
              <w:rPr>
                <w:bCs/>
                <w:color w:val="414041" w:themeColor="text1"/>
                <w:sz w:val="20"/>
                <w:szCs w:val="20"/>
              </w:rPr>
              <w:t>($0.0036)</w:t>
            </w:r>
          </w:p>
        </w:tc>
      </w:tr>
    </w:tbl>
    <w:p w14:paraId="5E4B4400" w14:textId="118A428A" w:rsidR="00C46F3D" w:rsidRPr="00C46F3D" w:rsidRDefault="00C46F3D" w:rsidP="00C46F3D">
      <w:pPr>
        <w:rPr>
          <w:color w:val="414041" w:themeColor="text1"/>
          <w:sz w:val="20"/>
          <w:szCs w:val="20"/>
        </w:rPr>
      </w:pPr>
    </w:p>
    <w:p w14:paraId="62E37EA7" w14:textId="77777777" w:rsidR="009748AD" w:rsidRPr="00513BDF" w:rsidRDefault="009748AD" w:rsidP="009748AD">
      <w:pPr>
        <w:rPr>
          <w:rFonts w:cstheme="minorHAnsi"/>
          <w:color w:val="414041" w:themeColor="text1"/>
          <w:sz w:val="20"/>
          <w:szCs w:val="20"/>
        </w:rPr>
      </w:pPr>
      <w:r w:rsidRPr="00513BDF">
        <w:rPr>
          <w:rFonts w:cstheme="minorHAnsi"/>
          <w:color w:val="414041" w:themeColor="text1"/>
          <w:sz w:val="20"/>
          <w:szCs w:val="20"/>
        </w:rPr>
        <w:t>The rebates provided for by the above table are applicable to the following fee codes: AA, AB, and AC.</w:t>
      </w:r>
    </w:p>
    <w:p w14:paraId="205E686C" w14:textId="16C92E72" w:rsidR="009748AD" w:rsidRDefault="009748AD" w:rsidP="009748AD">
      <w:pPr>
        <w:pStyle w:val="Heading2"/>
      </w:pPr>
    </w:p>
    <w:p w14:paraId="5D06C46A" w14:textId="6EBF35E7" w:rsidR="00C46F3D" w:rsidRPr="008133AE" w:rsidRDefault="00C46F3D" w:rsidP="00C46F3D">
      <w:pPr>
        <w:pStyle w:val="Heading2"/>
        <w:ind w:left="360"/>
      </w:pPr>
      <w:bookmarkStart w:id="9" w:name="_Toc110949409"/>
      <w:r>
        <w:t>d</w:t>
      </w:r>
      <w:r w:rsidRPr="008133AE">
        <w:t xml:space="preserve">) </w:t>
      </w:r>
      <w:r w:rsidR="00643A05">
        <w:t>Remove Volume Tiers</w:t>
      </w:r>
      <w:bookmarkEnd w:id="9"/>
    </w:p>
    <w:p w14:paraId="67A9F477" w14:textId="77777777" w:rsidR="00C46F3D" w:rsidRPr="00AF386E" w:rsidRDefault="00C46F3D" w:rsidP="00C46F3D">
      <w:pPr>
        <w:rPr>
          <w:i/>
        </w:rPr>
      </w:pPr>
    </w:p>
    <w:tbl>
      <w:tblPr>
        <w:tblStyle w:val="TableGrid"/>
        <w:tblW w:w="5052" w:type="pct"/>
        <w:tblBorders>
          <w:top w:val="single" w:sz="4" w:space="0" w:color="A6A6A6" w:themeColor="accent2"/>
          <w:left w:val="single" w:sz="4" w:space="0" w:color="A6A6A6" w:themeColor="accent2"/>
          <w:bottom w:val="single" w:sz="4" w:space="0" w:color="A6A6A6" w:themeColor="accent2"/>
          <w:right w:val="single" w:sz="4" w:space="0" w:color="A6A6A6" w:themeColor="accent2"/>
          <w:insideH w:val="single" w:sz="4" w:space="0" w:color="A6A6A6" w:themeColor="accent2"/>
          <w:insideV w:val="single" w:sz="4" w:space="0" w:color="A6A6A6" w:themeColor="accent2"/>
        </w:tblBorders>
        <w:tblLook w:val="04A0" w:firstRow="1" w:lastRow="0" w:firstColumn="1" w:lastColumn="0" w:noHBand="0" w:noVBand="1"/>
      </w:tblPr>
      <w:tblGrid>
        <w:gridCol w:w="3471"/>
        <w:gridCol w:w="3473"/>
        <w:gridCol w:w="3580"/>
      </w:tblGrid>
      <w:tr w:rsidR="009748AD" w:rsidRPr="008133AE" w14:paraId="5D36D2AE" w14:textId="77777777" w:rsidTr="009C5AA9">
        <w:tc>
          <w:tcPr>
            <w:tcW w:w="1649" w:type="pct"/>
            <w:shd w:val="clear" w:color="auto" w:fill="414041" w:themeFill="text1"/>
            <w:vAlign w:val="bottom"/>
          </w:tcPr>
          <w:p w14:paraId="76AD911B" w14:textId="77777777" w:rsidR="009748AD" w:rsidRDefault="009748AD" w:rsidP="009748AD">
            <w:pPr>
              <w:jc w:val="center"/>
              <w:rPr>
                <w:b/>
                <w:bCs/>
                <w:color w:val="FFFFFF" w:themeColor="background1"/>
                <w:sz w:val="20"/>
                <w:szCs w:val="20"/>
              </w:rPr>
            </w:pPr>
            <w:r>
              <w:rPr>
                <w:b/>
                <w:bCs/>
                <w:color w:val="FFFFFF" w:themeColor="background1"/>
                <w:sz w:val="20"/>
                <w:szCs w:val="20"/>
              </w:rPr>
              <w:t>Tier</w:t>
            </w:r>
          </w:p>
          <w:p w14:paraId="7E1470E3" w14:textId="35EA4032" w:rsidR="00513BDF" w:rsidRPr="003C376C" w:rsidRDefault="00513BDF" w:rsidP="009748AD">
            <w:pPr>
              <w:jc w:val="center"/>
              <w:rPr>
                <w:b/>
                <w:bCs/>
                <w:color w:val="FFFFFF" w:themeColor="background1"/>
                <w:sz w:val="20"/>
                <w:szCs w:val="20"/>
              </w:rPr>
            </w:pPr>
          </w:p>
        </w:tc>
        <w:tc>
          <w:tcPr>
            <w:tcW w:w="1650" w:type="pct"/>
            <w:shd w:val="clear" w:color="auto" w:fill="414041" w:themeFill="text1"/>
            <w:vAlign w:val="bottom"/>
          </w:tcPr>
          <w:p w14:paraId="29151015" w14:textId="7DF561B8" w:rsidR="009748AD" w:rsidRDefault="00D23FFB" w:rsidP="009748AD">
            <w:pPr>
              <w:jc w:val="center"/>
              <w:rPr>
                <w:b/>
                <w:bCs/>
                <w:color w:val="FFFFFF" w:themeColor="background1"/>
                <w:sz w:val="20"/>
                <w:szCs w:val="20"/>
              </w:rPr>
            </w:pPr>
            <w:r>
              <w:rPr>
                <w:b/>
                <w:bCs/>
                <w:color w:val="FFFFFF" w:themeColor="background1"/>
                <w:sz w:val="20"/>
                <w:szCs w:val="20"/>
              </w:rPr>
              <w:t>Required Criteria</w:t>
            </w:r>
          </w:p>
          <w:p w14:paraId="713BB7BD" w14:textId="51259013" w:rsidR="00513BDF" w:rsidRPr="003C376C" w:rsidRDefault="00513BDF" w:rsidP="009748AD">
            <w:pPr>
              <w:jc w:val="center"/>
              <w:rPr>
                <w:b/>
                <w:bCs/>
                <w:color w:val="FFFFFF" w:themeColor="background1"/>
                <w:sz w:val="20"/>
                <w:szCs w:val="20"/>
              </w:rPr>
            </w:pPr>
          </w:p>
        </w:tc>
        <w:tc>
          <w:tcPr>
            <w:tcW w:w="1701" w:type="pct"/>
            <w:shd w:val="clear" w:color="auto" w:fill="414041" w:themeFill="text1"/>
            <w:vAlign w:val="bottom"/>
          </w:tcPr>
          <w:p w14:paraId="1B04B07E" w14:textId="2E6AE89E" w:rsidR="009748AD" w:rsidRPr="003C376C" w:rsidRDefault="009748AD" w:rsidP="009748AD">
            <w:pPr>
              <w:jc w:val="center"/>
              <w:rPr>
                <w:b/>
                <w:bCs/>
                <w:color w:val="FFFFFF" w:themeColor="background1"/>
                <w:sz w:val="20"/>
                <w:szCs w:val="20"/>
              </w:rPr>
            </w:pPr>
            <w:r>
              <w:rPr>
                <w:b/>
                <w:bCs/>
                <w:color w:val="FFFFFF" w:themeColor="background1"/>
                <w:sz w:val="20"/>
                <w:szCs w:val="20"/>
              </w:rPr>
              <w:t>Securities Priced at or Above $1.00</w:t>
            </w:r>
          </w:p>
        </w:tc>
      </w:tr>
      <w:tr w:rsidR="009748AD" w:rsidRPr="008133AE" w14:paraId="286320C8" w14:textId="77777777" w:rsidTr="009C5AA9">
        <w:tc>
          <w:tcPr>
            <w:tcW w:w="1649" w:type="pct"/>
            <w:tcBorders>
              <w:top w:val="single" w:sz="4" w:space="0" w:color="auto"/>
              <w:left w:val="single" w:sz="4" w:space="0" w:color="auto"/>
              <w:bottom w:val="single" w:sz="4" w:space="0" w:color="auto"/>
              <w:right w:val="single" w:sz="4" w:space="0" w:color="auto"/>
            </w:tcBorders>
          </w:tcPr>
          <w:p w14:paraId="1B3D3AA6" w14:textId="68736714" w:rsidR="009748AD" w:rsidRPr="009748AD" w:rsidRDefault="009748AD" w:rsidP="009748AD">
            <w:pPr>
              <w:jc w:val="center"/>
              <w:rPr>
                <w:bCs/>
                <w:color w:val="414041" w:themeColor="text1"/>
                <w:sz w:val="20"/>
                <w:szCs w:val="20"/>
              </w:rPr>
            </w:pPr>
            <w:r w:rsidRPr="009748AD">
              <w:rPr>
                <w:bCs/>
                <w:color w:val="414041" w:themeColor="text1"/>
                <w:sz w:val="20"/>
                <w:szCs w:val="20"/>
              </w:rPr>
              <w:t>1</w:t>
            </w:r>
          </w:p>
        </w:tc>
        <w:tc>
          <w:tcPr>
            <w:tcW w:w="1650" w:type="pct"/>
            <w:tcBorders>
              <w:top w:val="single" w:sz="4" w:space="0" w:color="auto"/>
              <w:left w:val="single" w:sz="4" w:space="0" w:color="auto"/>
              <w:bottom w:val="single" w:sz="4" w:space="0" w:color="auto"/>
              <w:right w:val="single" w:sz="4" w:space="0" w:color="auto"/>
            </w:tcBorders>
          </w:tcPr>
          <w:p w14:paraId="6B7039D5" w14:textId="30900537" w:rsidR="009748AD" w:rsidRPr="009748AD" w:rsidRDefault="009748AD" w:rsidP="008B2678">
            <w:pPr>
              <w:jc w:val="center"/>
              <w:rPr>
                <w:bCs/>
                <w:color w:val="414041" w:themeColor="text1"/>
                <w:sz w:val="20"/>
                <w:szCs w:val="20"/>
              </w:rPr>
            </w:pPr>
            <w:r w:rsidRPr="009748AD">
              <w:rPr>
                <w:bCs/>
                <w:color w:val="414041" w:themeColor="text1"/>
                <w:sz w:val="20"/>
                <w:szCs w:val="20"/>
              </w:rPr>
              <w:t>ADV ≥ 0.10% of TCV</w:t>
            </w:r>
            <w:r w:rsidR="009842BD">
              <w:rPr>
                <w:bCs/>
                <w:color w:val="414041" w:themeColor="text1"/>
                <w:sz w:val="20"/>
                <w:szCs w:val="20"/>
              </w:rPr>
              <w:t xml:space="preserve"> </w:t>
            </w:r>
            <w:r w:rsidR="009842BD" w:rsidRPr="009842BD">
              <w:rPr>
                <w:bCs/>
                <w:color w:val="414041" w:themeColor="text1"/>
                <w:sz w:val="20"/>
                <w:szCs w:val="20"/>
              </w:rPr>
              <w:t>and ≥1,000 shares of added liquidity</w:t>
            </w:r>
          </w:p>
        </w:tc>
        <w:tc>
          <w:tcPr>
            <w:tcW w:w="1701" w:type="pct"/>
            <w:tcBorders>
              <w:top w:val="single" w:sz="4" w:space="0" w:color="auto"/>
              <w:left w:val="single" w:sz="4" w:space="0" w:color="auto"/>
              <w:bottom w:val="single" w:sz="4" w:space="0" w:color="auto"/>
              <w:right w:val="single" w:sz="4" w:space="0" w:color="auto"/>
            </w:tcBorders>
          </w:tcPr>
          <w:p w14:paraId="4B678096" w14:textId="54D6AE71" w:rsidR="009748AD" w:rsidRPr="009748AD" w:rsidRDefault="009748AD" w:rsidP="009748AD">
            <w:pPr>
              <w:jc w:val="center"/>
              <w:rPr>
                <w:bCs/>
                <w:color w:val="414041" w:themeColor="text1"/>
                <w:sz w:val="20"/>
                <w:szCs w:val="20"/>
              </w:rPr>
            </w:pPr>
            <w:r w:rsidRPr="009748AD">
              <w:rPr>
                <w:bCs/>
                <w:color w:val="414041" w:themeColor="text1"/>
                <w:sz w:val="20"/>
                <w:szCs w:val="20"/>
              </w:rPr>
              <w:t>$0.002</w:t>
            </w:r>
            <w:r w:rsidR="00164544">
              <w:rPr>
                <w:bCs/>
                <w:color w:val="414041" w:themeColor="text1"/>
                <w:sz w:val="20"/>
                <w:szCs w:val="20"/>
              </w:rPr>
              <w:t>8</w:t>
            </w:r>
          </w:p>
        </w:tc>
      </w:tr>
      <w:tr w:rsidR="009748AD" w:rsidRPr="008133AE" w14:paraId="262DE7EF" w14:textId="77777777" w:rsidTr="009C5AA9">
        <w:trPr>
          <w:trHeight w:val="70"/>
        </w:trPr>
        <w:tc>
          <w:tcPr>
            <w:tcW w:w="1649" w:type="pct"/>
            <w:tcBorders>
              <w:top w:val="single" w:sz="4" w:space="0" w:color="auto"/>
              <w:left w:val="single" w:sz="4" w:space="0" w:color="auto"/>
              <w:bottom w:val="single" w:sz="4" w:space="0" w:color="auto"/>
              <w:right w:val="single" w:sz="4" w:space="0" w:color="auto"/>
            </w:tcBorders>
          </w:tcPr>
          <w:p w14:paraId="7DED71E4" w14:textId="0B3F4CA5" w:rsidR="009748AD" w:rsidRPr="009748AD" w:rsidRDefault="009748AD" w:rsidP="00513BDF">
            <w:pPr>
              <w:shd w:val="clear" w:color="auto" w:fill="F1F2F0" w:themeFill="text2"/>
              <w:jc w:val="center"/>
              <w:rPr>
                <w:bCs/>
                <w:color w:val="414041" w:themeColor="text1"/>
                <w:sz w:val="20"/>
                <w:szCs w:val="20"/>
              </w:rPr>
            </w:pPr>
            <w:r w:rsidRPr="009748AD">
              <w:rPr>
                <w:bCs/>
                <w:color w:val="414041" w:themeColor="text1"/>
                <w:sz w:val="20"/>
                <w:szCs w:val="20"/>
              </w:rPr>
              <w:t>2</w:t>
            </w:r>
          </w:p>
        </w:tc>
        <w:tc>
          <w:tcPr>
            <w:tcW w:w="1650" w:type="pct"/>
            <w:tcBorders>
              <w:top w:val="single" w:sz="4" w:space="0" w:color="auto"/>
              <w:left w:val="single" w:sz="4" w:space="0" w:color="auto"/>
              <w:bottom w:val="single" w:sz="4" w:space="0" w:color="auto"/>
              <w:right w:val="single" w:sz="4" w:space="0" w:color="auto"/>
            </w:tcBorders>
          </w:tcPr>
          <w:p w14:paraId="193744D9" w14:textId="4A570E3E" w:rsidR="009748AD" w:rsidRPr="009748AD" w:rsidRDefault="009748AD" w:rsidP="008B2678">
            <w:pPr>
              <w:shd w:val="clear" w:color="auto" w:fill="F1F2F0" w:themeFill="text2"/>
              <w:jc w:val="center"/>
              <w:rPr>
                <w:bCs/>
                <w:color w:val="414041" w:themeColor="text1"/>
                <w:sz w:val="20"/>
                <w:szCs w:val="20"/>
              </w:rPr>
            </w:pPr>
            <w:r w:rsidRPr="009748AD">
              <w:rPr>
                <w:bCs/>
                <w:color w:val="414041" w:themeColor="text1"/>
                <w:sz w:val="20"/>
                <w:szCs w:val="20"/>
              </w:rPr>
              <w:t>ADV ≥ 0.15% of TCV</w:t>
            </w:r>
            <w:r w:rsidR="009842BD">
              <w:rPr>
                <w:bCs/>
                <w:color w:val="414041" w:themeColor="text1"/>
                <w:sz w:val="20"/>
                <w:szCs w:val="20"/>
              </w:rPr>
              <w:t xml:space="preserve"> </w:t>
            </w:r>
            <w:r w:rsidR="009842BD" w:rsidRPr="009842BD">
              <w:rPr>
                <w:bCs/>
                <w:color w:val="414041" w:themeColor="text1"/>
                <w:sz w:val="20"/>
                <w:szCs w:val="20"/>
              </w:rPr>
              <w:t>and ≥1,000 shares of added liquidity</w:t>
            </w:r>
          </w:p>
        </w:tc>
        <w:tc>
          <w:tcPr>
            <w:tcW w:w="1701" w:type="pct"/>
            <w:tcBorders>
              <w:top w:val="single" w:sz="4" w:space="0" w:color="auto"/>
              <w:left w:val="single" w:sz="4" w:space="0" w:color="auto"/>
              <w:bottom w:val="single" w:sz="4" w:space="0" w:color="auto"/>
              <w:right w:val="single" w:sz="4" w:space="0" w:color="auto"/>
            </w:tcBorders>
          </w:tcPr>
          <w:p w14:paraId="7858E69C" w14:textId="301D56E3" w:rsidR="009748AD" w:rsidRPr="009748AD" w:rsidRDefault="00164544" w:rsidP="00513BDF">
            <w:pPr>
              <w:shd w:val="clear" w:color="auto" w:fill="F1F2F0" w:themeFill="text2"/>
              <w:jc w:val="center"/>
              <w:rPr>
                <w:bCs/>
                <w:color w:val="414041" w:themeColor="text1"/>
                <w:sz w:val="20"/>
                <w:szCs w:val="20"/>
              </w:rPr>
            </w:pPr>
            <w:r>
              <w:rPr>
                <w:bCs/>
                <w:color w:val="414041" w:themeColor="text1"/>
                <w:sz w:val="20"/>
                <w:szCs w:val="20"/>
              </w:rPr>
              <w:t>$0.0027</w:t>
            </w:r>
          </w:p>
        </w:tc>
      </w:tr>
    </w:tbl>
    <w:p w14:paraId="6C059008" w14:textId="77777777" w:rsidR="00C46F3D" w:rsidRPr="009748AD" w:rsidRDefault="00C46F3D" w:rsidP="00934CF7">
      <w:pPr>
        <w:rPr>
          <w:rFonts w:cstheme="minorHAnsi"/>
          <w:color w:val="414041" w:themeColor="text1"/>
          <w:sz w:val="22"/>
          <w:szCs w:val="22"/>
        </w:rPr>
      </w:pPr>
    </w:p>
    <w:p w14:paraId="76BB79D7" w14:textId="66244C77" w:rsidR="00164544" w:rsidRDefault="009748AD" w:rsidP="009748AD">
      <w:pPr>
        <w:spacing w:after="200" w:line="276" w:lineRule="auto"/>
        <w:rPr>
          <w:rFonts w:cstheme="minorHAnsi"/>
          <w:color w:val="414041" w:themeColor="text1"/>
          <w:sz w:val="20"/>
          <w:szCs w:val="20"/>
        </w:rPr>
      </w:pPr>
      <w:r w:rsidRPr="00513BDF">
        <w:rPr>
          <w:rFonts w:cstheme="minorHAnsi"/>
          <w:color w:val="414041" w:themeColor="text1"/>
          <w:sz w:val="20"/>
          <w:szCs w:val="20"/>
        </w:rPr>
        <w:t xml:space="preserve">The fees provided for by the above table are applicable to the following fee codes: RA, RB, RC, RR, Ra, </w:t>
      </w:r>
      <w:proofErr w:type="spellStart"/>
      <w:r w:rsidRPr="00513BDF">
        <w:rPr>
          <w:rFonts w:cstheme="minorHAnsi"/>
          <w:color w:val="414041" w:themeColor="text1"/>
          <w:sz w:val="20"/>
          <w:szCs w:val="20"/>
        </w:rPr>
        <w:t>Rb</w:t>
      </w:r>
      <w:proofErr w:type="spellEnd"/>
      <w:r w:rsidRPr="00513BDF">
        <w:rPr>
          <w:rFonts w:cstheme="minorHAnsi"/>
          <w:color w:val="414041" w:themeColor="text1"/>
          <w:sz w:val="20"/>
          <w:szCs w:val="20"/>
        </w:rPr>
        <w:t xml:space="preserve">, </w:t>
      </w:r>
      <w:proofErr w:type="spellStart"/>
      <w:proofErr w:type="gramStart"/>
      <w:r w:rsidRPr="00513BDF">
        <w:rPr>
          <w:rFonts w:cstheme="minorHAnsi"/>
          <w:color w:val="414041" w:themeColor="text1"/>
          <w:sz w:val="20"/>
          <w:szCs w:val="20"/>
        </w:rPr>
        <w:t>Rc</w:t>
      </w:r>
      <w:proofErr w:type="spellEnd"/>
      <w:proofErr w:type="gramEnd"/>
      <w:r w:rsidRPr="00513BDF">
        <w:rPr>
          <w:rFonts w:cstheme="minorHAnsi"/>
          <w:color w:val="414041" w:themeColor="text1"/>
          <w:sz w:val="20"/>
          <w:szCs w:val="20"/>
        </w:rPr>
        <w:t>, and Rr.</w:t>
      </w:r>
    </w:p>
    <w:p w14:paraId="0215E8C5" w14:textId="52FC0362" w:rsidR="00164544" w:rsidRPr="00164544" w:rsidRDefault="00F81CCC" w:rsidP="00734DD9">
      <w:pPr>
        <w:pStyle w:val="Heading2"/>
        <w:ind w:left="360"/>
      </w:pPr>
      <w:bookmarkStart w:id="10" w:name="_Toc110949410"/>
      <w:r>
        <w:t>e</w:t>
      </w:r>
      <w:r w:rsidR="00164544" w:rsidRPr="00164544">
        <w:t xml:space="preserve">) </w:t>
      </w:r>
      <w:r w:rsidRPr="00F81CCC">
        <w:t>Midpoint Peg Order Adding Liquidity at Midpoint Volume Tiers</w:t>
      </w:r>
      <w:bookmarkEnd w:id="10"/>
    </w:p>
    <w:p w14:paraId="1D8F8251" w14:textId="77777777" w:rsidR="00164544" w:rsidRPr="00164544" w:rsidRDefault="00164544" w:rsidP="00164544">
      <w:pPr>
        <w:rPr>
          <w:i/>
        </w:rPr>
      </w:pPr>
    </w:p>
    <w:tbl>
      <w:tblPr>
        <w:tblStyle w:val="TableGrid"/>
        <w:tblW w:w="5052" w:type="pct"/>
        <w:tblBorders>
          <w:top w:val="single" w:sz="4" w:space="0" w:color="A6A6A6" w:themeColor="accent2"/>
          <w:left w:val="single" w:sz="4" w:space="0" w:color="A6A6A6" w:themeColor="accent2"/>
          <w:bottom w:val="single" w:sz="4" w:space="0" w:color="A6A6A6" w:themeColor="accent2"/>
          <w:right w:val="single" w:sz="4" w:space="0" w:color="A6A6A6" w:themeColor="accent2"/>
          <w:insideH w:val="single" w:sz="4" w:space="0" w:color="A6A6A6" w:themeColor="accent2"/>
          <w:insideV w:val="single" w:sz="4" w:space="0" w:color="A6A6A6" w:themeColor="accent2"/>
        </w:tblBorders>
        <w:tblLook w:val="04A0" w:firstRow="1" w:lastRow="0" w:firstColumn="1" w:lastColumn="0" w:noHBand="0" w:noVBand="1"/>
      </w:tblPr>
      <w:tblGrid>
        <w:gridCol w:w="3471"/>
        <w:gridCol w:w="3473"/>
        <w:gridCol w:w="3580"/>
      </w:tblGrid>
      <w:tr w:rsidR="00164544" w:rsidRPr="00164544" w14:paraId="15A99B3B" w14:textId="77777777" w:rsidTr="009C5AA9">
        <w:tc>
          <w:tcPr>
            <w:tcW w:w="1649" w:type="pct"/>
            <w:tcBorders>
              <w:bottom w:val="single" w:sz="4" w:space="0" w:color="auto"/>
            </w:tcBorders>
            <w:shd w:val="clear" w:color="auto" w:fill="414041" w:themeFill="text1"/>
            <w:vAlign w:val="bottom"/>
          </w:tcPr>
          <w:p w14:paraId="25873279" w14:textId="77777777" w:rsidR="00164544" w:rsidRPr="00164544" w:rsidRDefault="00164544" w:rsidP="00164544">
            <w:pPr>
              <w:jc w:val="center"/>
              <w:rPr>
                <w:b/>
                <w:bCs/>
                <w:color w:val="FFFFFF" w:themeColor="background1"/>
                <w:sz w:val="20"/>
                <w:szCs w:val="20"/>
              </w:rPr>
            </w:pPr>
            <w:r w:rsidRPr="00164544">
              <w:rPr>
                <w:b/>
                <w:bCs/>
                <w:color w:val="FFFFFF" w:themeColor="background1"/>
                <w:sz w:val="20"/>
                <w:szCs w:val="20"/>
              </w:rPr>
              <w:t>Tier</w:t>
            </w:r>
          </w:p>
          <w:p w14:paraId="4EA81CA7" w14:textId="77777777" w:rsidR="00164544" w:rsidRPr="00164544" w:rsidRDefault="00164544" w:rsidP="00164544">
            <w:pPr>
              <w:jc w:val="center"/>
              <w:rPr>
                <w:b/>
                <w:bCs/>
                <w:color w:val="FFFFFF" w:themeColor="background1"/>
                <w:sz w:val="20"/>
                <w:szCs w:val="20"/>
              </w:rPr>
            </w:pPr>
          </w:p>
        </w:tc>
        <w:tc>
          <w:tcPr>
            <w:tcW w:w="1650" w:type="pct"/>
            <w:tcBorders>
              <w:bottom w:val="single" w:sz="4" w:space="0" w:color="auto"/>
            </w:tcBorders>
            <w:shd w:val="clear" w:color="auto" w:fill="414041" w:themeFill="text1"/>
            <w:vAlign w:val="bottom"/>
          </w:tcPr>
          <w:p w14:paraId="22602490" w14:textId="73392923" w:rsidR="00164544" w:rsidRPr="00164544" w:rsidRDefault="00F81CCC" w:rsidP="00164544">
            <w:pPr>
              <w:jc w:val="center"/>
              <w:rPr>
                <w:b/>
                <w:bCs/>
                <w:color w:val="FFFFFF" w:themeColor="background1"/>
                <w:sz w:val="20"/>
                <w:szCs w:val="20"/>
              </w:rPr>
            </w:pPr>
            <w:r>
              <w:rPr>
                <w:b/>
                <w:bCs/>
                <w:color w:val="FFFFFF" w:themeColor="background1"/>
                <w:sz w:val="20"/>
                <w:szCs w:val="20"/>
              </w:rPr>
              <w:t>Share</w:t>
            </w:r>
            <w:r w:rsidR="00164544" w:rsidRPr="00164544">
              <w:rPr>
                <w:b/>
                <w:bCs/>
                <w:color w:val="FFFFFF" w:themeColor="background1"/>
                <w:sz w:val="20"/>
                <w:szCs w:val="20"/>
              </w:rPr>
              <w:t xml:space="preserve"> Thresholds</w:t>
            </w:r>
          </w:p>
          <w:p w14:paraId="5D675F62" w14:textId="77777777" w:rsidR="00164544" w:rsidRPr="00164544" w:rsidRDefault="00164544" w:rsidP="00164544">
            <w:pPr>
              <w:jc w:val="center"/>
              <w:rPr>
                <w:b/>
                <w:bCs/>
                <w:color w:val="FFFFFF" w:themeColor="background1"/>
                <w:sz w:val="20"/>
                <w:szCs w:val="20"/>
              </w:rPr>
            </w:pPr>
          </w:p>
        </w:tc>
        <w:tc>
          <w:tcPr>
            <w:tcW w:w="1701" w:type="pct"/>
            <w:tcBorders>
              <w:bottom w:val="single" w:sz="4" w:space="0" w:color="auto"/>
            </w:tcBorders>
            <w:shd w:val="clear" w:color="auto" w:fill="414041" w:themeFill="text1"/>
            <w:vAlign w:val="bottom"/>
          </w:tcPr>
          <w:p w14:paraId="61C31FD8" w14:textId="77777777" w:rsidR="00164544" w:rsidRPr="00164544" w:rsidRDefault="00164544" w:rsidP="00164544">
            <w:pPr>
              <w:jc w:val="center"/>
              <w:rPr>
                <w:b/>
                <w:bCs/>
                <w:color w:val="FFFFFF" w:themeColor="background1"/>
                <w:sz w:val="20"/>
                <w:szCs w:val="20"/>
              </w:rPr>
            </w:pPr>
            <w:r w:rsidRPr="00164544">
              <w:rPr>
                <w:b/>
                <w:bCs/>
                <w:color w:val="FFFFFF" w:themeColor="background1"/>
                <w:sz w:val="20"/>
                <w:szCs w:val="20"/>
              </w:rPr>
              <w:t>Securities Priced at or Above $1.00</w:t>
            </w:r>
          </w:p>
        </w:tc>
      </w:tr>
      <w:tr w:rsidR="00F81CCC" w:rsidRPr="00164544" w14:paraId="01552664" w14:textId="77777777" w:rsidTr="009C5AA9">
        <w:tc>
          <w:tcPr>
            <w:tcW w:w="1649" w:type="pct"/>
            <w:tcBorders>
              <w:top w:val="single" w:sz="4" w:space="0" w:color="auto"/>
              <w:left w:val="single" w:sz="4" w:space="0" w:color="auto"/>
              <w:bottom w:val="single" w:sz="4" w:space="0" w:color="auto"/>
              <w:right w:val="single" w:sz="4" w:space="0" w:color="auto"/>
            </w:tcBorders>
          </w:tcPr>
          <w:p w14:paraId="26B4E048" w14:textId="77777777" w:rsidR="00F81CCC" w:rsidRPr="00164544" w:rsidRDefault="00F81CCC" w:rsidP="00F81CCC">
            <w:pPr>
              <w:jc w:val="center"/>
              <w:rPr>
                <w:bCs/>
                <w:color w:val="414041" w:themeColor="text1"/>
                <w:sz w:val="20"/>
                <w:szCs w:val="20"/>
              </w:rPr>
            </w:pPr>
            <w:r w:rsidRPr="00164544">
              <w:rPr>
                <w:bCs/>
                <w:color w:val="414041" w:themeColor="text1"/>
                <w:sz w:val="20"/>
                <w:szCs w:val="20"/>
              </w:rPr>
              <w:t>1</w:t>
            </w:r>
          </w:p>
        </w:tc>
        <w:tc>
          <w:tcPr>
            <w:tcW w:w="1650" w:type="pct"/>
            <w:tcBorders>
              <w:top w:val="single" w:sz="4" w:space="0" w:color="auto"/>
              <w:bottom w:val="single" w:sz="4" w:space="0" w:color="auto"/>
            </w:tcBorders>
          </w:tcPr>
          <w:p w14:paraId="040CE654" w14:textId="1CEE6F7E" w:rsidR="00F81CCC" w:rsidRPr="00164544" w:rsidRDefault="00F81CCC" w:rsidP="00F81CCC">
            <w:pPr>
              <w:jc w:val="center"/>
              <w:rPr>
                <w:bCs/>
                <w:color w:val="414041" w:themeColor="text1"/>
                <w:sz w:val="20"/>
                <w:szCs w:val="20"/>
              </w:rPr>
            </w:pPr>
            <w:r w:rsidRPr="00F81CCC">
              <w:rPr>
                <w:bCs/>
                <w:color w:val="414041" w:themeColor="text1"/>
                <w:sz w:val="20"/>
                <w:szCs w:val="20"/>
              </w:rPr>
              <w:t>Midpoint ADAV ≥ 500,000 shares</w:t>
            </w:r>
          </w:p>
        </w:tc>
        <w:tc>
          <w:tcPr>
            <w:tcW w:w="1701" w:type="pct"/>
            <w:tcBorders>
              <w:top w:val="single" w:sz="4" w:space="0" w:color="auto"/>
              <w:left w:val="single" w:sz="4" w:space="0" w:color="auto"/>
              <w:bottom w:val="single" w:sz="4" w:space="0" w:color="auto"/>
              <w:right w:val="single" w:sz="4" w:space="0" w:color="auto"/>
            </w:tcBorders>
          </w:tcPr>
          <w:p w14:paraId="7DECD285" w14:textId="7C79512B" w:rsidR="00F81CCC" w:rsidRPr="00164544" w:rsidRDefault="00FE6335" w:rsidP="00F81CCC">
            <w:pPr>
              <w:jc w:val="center"/>
              <w:rPr>
                <w:bCs/>
                <w:color w:val="414041" w:themeColor="text1"/>
                <w:sz w:val="20"/>
                <w:szCs w:val="20"/>
              </w:rPr>
            </w:pPr>
            <w:r>
              <w:rPr>
                <w:bCs/>
                <w:color w:val="414041" w:themeColor="text1"/>
                <w:sz w:val="20"/>
                <w:szCs w:val="20"/>
              </w:rPr>
              <w:t>(</w:t>
            </w:r>
            <w:r w:rsidR="00F81CCC" w:rsidRPr="00164544">
              <w:rPr>
                <w:bCs/>
                <w:color w:val="414041" w:themeColor="text1"/>
                <w:sz w:val="20"/>
                <w:szCs w:val="20"/>
              </w:rPr>
              <w:t>$0.002</w:t>
            </w:r>
            <w:r w:rsidR="00F81CCC">
              <w:rPr>
                <w:bCs/>
                <w:color w:val="414041" w:themeColor="text1"/>
                <w:sz w:val="20"/>
                <w:szCs w:val="20"/>
              </w:rPr>
              <w:t>5</w:t>
            </w:r>
            <w:r>
              <w:rPr>
                <w:bCs/>
                <w:color w:val="414041" w:themeColor="text1"/>
                <w:sz w:val="20"/>
                <w:szCs w:val="20"/>
              </w:rPr>
              <w:t>)</w:t>
            </w:r>
          </w:p>
        </w:tc>
      </w:tr>
      <w:tr w:rsidR="00F81CCC" w:rsidRPr="00164544" w14:paraId="0CBD7B67" w14:textId="77777777" w:rsidTr="009C5AA9">
        <w:trPr>
          <w:trHeight w:val="70"/>
        </w:trPr>
        <w:tc>
          <w:tcPr>
            <w:tcW w:w="1649" w:type="pct"/>
            <w:tcBorders>
              <w:top w:val="single" w:sz="4" w:space="0" w:color="auto"/>
              <w:left w:val="single" w:sz="4" w:space="0" w:color="auto"/>
              <w:bottom w:val="single" w:sz="4" w:space="0" w:color="auto"/>
              <w:right w:val="single" w:sz="4" w:space="0" w:color="auto"/>
            </w:tcBorders>
            <w:shd w:val="clear" w:color="auto" w:fill="F1F2F0" w:themeFill="text2"/>
          </w:tcPr>
          <w:p w14:paraId="3AAE775C" w14:textId="77777777" w:rsidR="00F81CCC" w:rsidRPr="00164544" w:rsidRDefault="00F81CCC" w:rsidP="00F81CCC">
            <w:pPr>
              <w:shd w:val="clear" w:color="auto" w:fill="F1F2F0" w:themeFill="text2"/>
              <w:jc w:val="center"/>
              <w:rPr>
                <w:bCs/>
                <w:color w:val="414041" w:themeColor="text1"/>
                <w:sz w:val="20"/>
                <w:szCs w:val="20"/>
              </w:rPr>
            </w:pPr>
            <w:r w:rsidRPr="00164544">
              <w:rPr>
                <w:bCs/>
                <w:color w:val="414041" w:themeColor="text1"/>
                <w:sz w:val="20"/>
                <w:szCs w:val="20"/>
              </w:rPr>
              <w:t>2</w:t>
            </w:r>
          </w:p>
        </w:tc>
        <w:tc>
          <w:tcPr>
            <w:tcW w:w="1650" w:type="pct"/>
            <w:tcBorders>
              <w:top w:val="single" w:sz="4" w:space="0" w:color="auto"/>
              <w:bottom w:val="single" w:sz="4" w:space="0" w:color="auto"/>
            </w:tcBorders>
            <w:shd w:val="clear" w:color="auto" w:fill="F1F2F0" w:themeFill="text2"/>
          </w:tcPr>
          <w:p w14:paraId="5225E4A1" w14:textId="36CA05EE" w:rsidR="00F81CCC" w:rsidRPr="00164544" w:rsidRDefault="00F81CCC" w:rsidP="00F81CCC">
            <w:pPr>
              <w:shd w:val="clear" w:color="auto" w:fill="F1F2F0" w:themeFill="text2"/>
              <w:jc w:val="center"/>
              <w:rPr>
                <w:bCs/>
                <w:color w:val="414041" w:themeColor="text1"/>
                <w:sz w:val="20"/>
                <w:szCs w:val="20"/>
              </w:rPr>
            </w:pPr>
            <w:r w:rsidRPr="00F81CCC">
              <w:rPr>
                <w:bCs/>
                <w:color w:val="414041" w:themeColor="text1"/>
                <w:sz w:val="20"/>
                <w:szCs w:val="20"/>
              </w:rPr>
              <w:t>Midpoint ADAV ≥ 1,000,000 shares</w:t>
            </w:r>
          </w:p>
        </w:tc>
        <w:tc>
          <w:tcPr>
            <w:tcW w:w="1701" w:type="pct"/>
            <w:tcBorders>
              <w:top w:val="single" w:sz="4" w:space="0" w:color="auto"/>
              <w:left w:val="single" w:sz="4" w:space="0" w:color="auto"/>
              <w:bottom w:val="single" w:sz="4" w:space="0" w:color="auto"/>
              <w:right w:val="single" w:sz="4" w:space="0" w:color="auto"/>
            </w:tcBorders>
            <w:shd w:val="clear" w:color="auto" w:fill="F1F2F0" w:themeFill="text2"/>
          </w:tcPr>
          <w:p w14:paraId="12C0E27C" w14:textId="3AC20AF8" w:rsidR="00F81CCC" w:rsidRPr="00164544" w:rsidRDefault="00FE6335" w:rsidP="00F81CCC">
            <w:pPr>
              <w:shd w:val="clear" w:color="auto" w:fill="F1F2F0" w:themeFill="text2"/>
              <w:jc w:val="center"/>
              <w:rPr>
                <w:bCs/>
                <w:color w:val="414041" w:themeColor="text1"/>
                <w:sz w:val="20"/>
                <w:szCs w:val="20"/>
              </w:rPr>
            </w:pPr>
            <w:r>
              <w:rPr>
                <w:bCs/>
                <w:color w:val="414041" w:themeColor="text1"/>
                <w:sz w:val="20"/>
                <w:szCs w:val="20"/>
              </w:rPr>
              <w:t>(</w:t>
            </w:r>
            <w:r w:rsidR="00F81CCC" w:rsidRPr="00164544">
              <w:rPr>
                <w:bCs/>
                <w:color w:val="414041" w:themeColor="text1"/>
                <w:sz w:val="20"/>
                <w:szCs w:val="20"/>
              </w:rPr>
              <w:t>$0.0027</w:t>
            </w:r>
            <w:r>
              <w:rPr>
                <w:bCs/>
                <w:color w:val="414041" w:themeColor="text1"/>
                <w:sz w:val="20"/>
                <w:szCs w:val="20"/>
              </w:rPr>
              <w:t>)</w:t>
            </w:r>
          </w:p>
        </w:tc>
      </w:tr>
    </w:tbl>
    <w:p w14:paraId="5C33D56A" w14:textId="77777777" w:rsidR="00164544" w:rsidRPr="00164544" w:rsidRDefault="00164544" w:rsidP="00164544">
      <w:pPr>
        <w:rPr>
          <w:rFonts w:cstheme="minorHAnsi"/>
          <w:color w:val="414041" w:themeColor="text1"/>
          <w:sz w:val="22"/>
          <w:szCs w:val="22"/>
        </w:rPr>
      </w:pPr>
    </w:p>
    <w:p w14:paraId="4B622247" w14:textId="5DAAEFA9" w:rsidR="00F81CCC" w:rsidRDefault="00F81CCC" w:rsidP="00F81CCC">
      <w:pPr>
        <w:rPr>
          <w:rFonts w:cstheme="minorHAnsi"/>
          <w:color w:val="414041" w:themeColor="text1"/>
          <w:sz w:val="20"/>
          <w:szCs w:val="20"/>
        </w:rPr>
      </w:pPr>
      <w:r w:rsidRPr="00F81CCC">
        <w:rPr>
          <w:rFonts w:cstheme="minorHAnsi"/>
          <w:color w:val="414041" w:themeColor="text1"/>
          <w:sz w:val="20"/>
          <w:szCs w:val="20"/>
        </w:rPr>
        <w:t>The rebates provided for by the above table are applicable to the following fee code: Ap.</w:t>
      </w:r>
    </w:p>
    <w:p w14:paraId="4B8F29C9" w14:textId="216F17E5" w:rsidR="00164544" w:rsidRPr="00AA346C" w:rsidRDefault="00164544" w:rsidP="00AA346C">
      <w:pPr>
        <w:pStyle w:val="Heading2"/>
        <w:ind w:left="360"/>
      </w:pPr>
    </w:p>
    <w:p w14:paraId="3A431476" w14:textId="416FF1EB" w:rsidR="00AA346C" w:rsidRPr="00AA346C" w:rsidRDefault="00AA346C" w:rsidP="00AA346C">
      <w:pPr>
        <w:pStyle w:val="Heading2"/>
        <w:ind w:left="360"/>
      </w:pPr>
      <w:bookmarkStart w:id="11" w:name="_Toc110949411"/>
      <w:r>
        <w:t>f</w:t>
      </w:r>
      <w:r w:rsidRPr="00AA346C">
        <w:t xml:space="preserve">) </w:t>
      </w:r>
      <w:r>
        <w:t xml:space="preserve">Market Quality </w:t>
      </w:r>
      <w:r w:rsidRPr="00AA346C">
        <w:t>Tiers</w:t>
      </w:r>
      <w:bookmarkEnd w:id="11"/>
    </w:p>
    <w:p w14:paraId="3A74B5B4" w14:textId="77777777" w:rsidR="00AA346C" w:rsidRPr="00AA346C" w:rsidRDefault="00AA346C" w:rsidP="00AA346C">
      <w:pPr>
        <w:rPr>
          <w:rFonts w:cstheme="minorHAnsi"/>
          <w:i/>
          <w:color w:val="414041" w:themeColor="text1"/>
          <w:sz w:val="20"/>
          <w:szCs w:val="20"/>
        </w:rPr>
      </w:pPr>
    </w:p>
    <w:tbl>
      <w:tblPr>
        <w:tblStyle w:val="TableGrid"/>
        <w:tblW w:w="5052" w:type="pct"/>
        <w:tblLook w:val="04A0" w:firstRow="1" w:lastRow="0" w:firstColumn="1" w:lastColumn="0" w:noHBand="0" w:noVBand="1"/>
      </w:tblPr>
      <w:tblGrid>
        <w:gridCol w:w="894"/>
        <w:gridCol w:w="8190"/>
        <w:gridCol w:w="1440"/>
      </w:tblGrid>
      <w:tr w:rsidR="009C5AA9" w:rsidRPr="00AA346C" w14:paraId="31FDF044" w14:textId="77777777" w:rsidTr="008B7965">
        <w:trPr>
          <w:trHeight w:val="620"/>
        </w:trPr>
        <w:tc>
          <w:tcPr>
            <w:tcW w:w="425" w:type="pct"/>
            <w:shd w:val="clear" w:color="auto" w:fill="414041" w:themeFill="text1"/>
            <w:vAlign w:val="bottom"/>
          </w:tcPr>
          <w:p w14:paraId="1C4D9A64" w14:textId="77777777" w:rsidR="00AA346C" w:rsidRPr="00164544" w:rsidRDefault="00AA346C" w:rsidP="00AA346C">
            <w:pPr>
              <w:jc w:val="center"/>
              <w:rPr>
                <w:b/>
                <w:bCs/>
                <w:color w:val="FFFFFF" w:themeColor="background1"/>
                <w:sz w:val="20"/>
                <w:szCs w:val="20"/>
              </w:rPr>
            </w:pPr>
            <w:r w:rsidRPr="00164544">
              <w:rPr>
                <w:b/>
                <w:bCs/>
                <w:color w:val="FFFFFF" w:themeColor="background1"/>
                <w:sz w:val="20"/>
                <w:szCs w:val="20"/>
              </w:rPr>
              <w:t>Tier</w:t>
            </w:r>
          </w:p>
          <w:p w14:paraId="7C44EB8D" w14:textId="77777777" w:rsidR="00AA346C" w:rsidRPr="00AA346C" w:rsidRDefault="00AA346C" w:rsidP="00AA346C">
            <w:pPr>
              <w:rPr>
                <w:rFonts w:cstheme="minorHAnsi"/>
                <w:b/>
                <w:bCs/>
                <w:color w:val="414041" w:themeColor="text1"/>
                <w:sz w:val="20"/>
                <w:szCs w:val="20"/>
              </w:rPr>
            </w:pPr>
          </w:p>
        </w:tc>
        <w:tc>
          <w:tcPr>
            <w:tcW w:w="3891" w:type="pct"/>
            <w:shd w:val="clear" w:color="auto" w:fill="414041" w:themeFill="text1"/>
            <w:vAlign w:val="bottom"/>
          </w:tcPr>
          <w:p w14:paraId="6828A194" w14:textId="31F81213" w:rsidR="00AA346C" w:rsidRPr="00164544" w:rsidRDefault="00AA346C" w:rsidP="00AA346C">
            <w:pPr>
              <w:jc w:val="center"/>
              <w:rPr>
                <w:b/>
                <w:bCs/>
                <w:color w:val="FFFFFF" w:themeColor="background1"/>
                <w:sz w:val="20"/>
                <w:szCs w:val="20"/>
              </w:rPr>
            </w:pPr>
            <w:r>
              <w:rPr>
                <w:b/>
                <w:bCs/>
                <w:color w:val="FFFFFF" w:themeColor="background1"/>
                <w:sz w:val="20"/>
                <w:szCs w:val="20"/>
              </w:rPr>
              <w:t>Required Criteria</w:t>
            </w:r>
          </w:p>
          <w:p w14:paraId="4E49FB43" w14:textId="77777777" w:rsidR="00AA346C" w:rsidRPr="00AA346C" w:rsidRDefault="00AA346C" w:rsidP="00AA346C">
            <w:pPr>
              <w:rPr>
                <w:rFonts w:cstheme="minorHAnsi"/>
                <w:b/>
                <w:bCs/>
                <w:color w:val="414041" w:themeColor="text1"/>
                <w:sz w:val="20"/>
                <w:szCs w:val="20"/>
              </w:rPr>
            </w:pPr>
          </w:p>
        </w:tc>
        <w:tc>
          <w:tcPr>
            <w:tcW w:w="684" w:type="pct"/>
            <w:shd w:val="clear" w:color="auto" w:fill="414041" w:themeFill="text1"/>
            <w:vAlign w:val="bottom"/>
          </w:tcPr>
          <w:p w14:paraId="0739083E" w14:textId="110F6FF2" w:rsidR="00AA346C" w:rsidRPr="00AA346C" w:rsidRDefault="00AA346C" w:rsidP="00AA346C">
            <w:pPr>
              <w:jc w:val="center"/>
              <w:rPr>
                <w:rFonts w:cstheme="minorHAnsi"/>
                <w:b/>
                <w:bCs/>
                <w:color w:val="414041" w:themeColor="text1"/>
                <w:sz w:val="20"/>
                <w:szCs w:val="20"/>
              </w:rPr>
            </w:pPr>
            <w:r w:rsidRPr="00164544">
              <w:rPr>
                <w:b/>
                <w:bCs/>
                <w:color w:val="FFFFFF" w:themeColor="background1"/>
                <w:sz w:val="20"/>
                <w:szCs w:val="20"/>
              </w:rPr>
              <w:t>Securities Priced at or Above $1.00</w:t>
            </w:r>
          </w:p>
        </w:tc>
      </w:tr>
      <w:tr w:rsidR="009C5AA9" w:rsidRPr="00AA346C" w14:paraId="644015FD" w14:textId="77777777" w:rsidTr="008B7965">
        <w:trPr>
          <w:trHeight w:val="683"/>
        </w:trPr>
        <w:tc>
          <w:tcPr>
            <w:tcW w:w="425" w:type="pct"/>
          </w:tcPr>
          <w:p w14:paraId="75F72DF4" w14:textId="77777777" w:rsidR="00AA346C" w:rsidRPr="00AA346C" w:rsidRDefault="00AA346C" w:rsidP="00AA346C">
            <w:pPr>
              <w:jc w:val="center"/>
              <w:rPr>
                <w:rFonts w:asciiTheme="majorHAnsi" w:hAnsiTheme="majorHAnsi" w:cstheme="majorHAnsi"/>
                <w:bCs/>
                <w:color w:val="414041" w:themeColor="text1"/>
                <w:sz w:val="20"/>
                <w:szCs w:val="20"/>
              </w:rPr>
            </w:pPr>
            <w:r w:rsidRPr="00AA346C">
              <w:rPr>
                <w:rFonts w:asciiTheme="majorHAnsi" w:hAnsiTheme="majorHAnsi" w:cstheme="majorHAnsi"/>
                <w:bCs/>
                <w:color w:val="414041" w:themeColor="text1"/>
                <w:sz w:val="20"/>
                <w:szCs w:val="20"/>
              </w:rPr>
              <w:t>1</w:t>
            </w:r>
          </w:p>
        </w:tc>
        <w:tc>
          <w:tcPr>
            <w:tcW w:w="3891" w:type="pct"/>
          </w:tcPr>
          <w:p w14:paraId="26AACDE6" w14:textId="56D39966" w:rsidR="00AA346C" w:rsidRPr="00AA346C" w:rsidRDefault="00AA346C" w:rsidP="009C5AA9">
            <w:pPr>
              <w:rPr>
                <w:rFonts w:asciiTheme="majorHAnsi" w:hAnsiTheme="majorHAnsi" w:cstheme="majorHAnsi"/>
                <w:bCs/>
                <w:color w:val="414041" w:themeColor="text1"/>
                <w:sz w:val="20"/>
                <w:szCs w:val="20"/>
              </w:rPr>
            </w:pPr>
            <w:r w:rsidRPr="00AA346C">
              <w:rPr>
                <w:rFonts w:asciiTheme="majorHAnsi" w:hAnsiTheme="majorHAnsi" w:cstheme="majorHAnsi"/>
                <w:sz w:val="20"/>
                <w:szCs w:val="20"/>
              </w:rPr>
              <w:t>Member has a Percent Time at NBBO of ≥ 25% in an average of at least 250 securities, at least 50 of which must be MQ Securities, per trading day during the month</w:t>
            </w:r>
          </w:p>
        </w:tc>
        <w:tc>
          <w:tcPr>
            <w:tcW w:w="684" w:type="pct"/>
          </w:tcPr>
          <w:p w14:paraId="01A9A588" w14:textId="4D0477E3" w:rsidR="00AA346C" w:rsidRPr="00AA346C" w:rsidRDefault="00AA346C" w:rsidP="00AA346C">
            <w:pPr>
              <w:jc w:val="center"/>
              <w:rPr>
                <w:rFonts w:asciiTheme="majorHAnsi" w:hAnsiTheme="majorHAnsi" w:cstheme="majorHAnsi"/>
                <w:bCs/>
                <w:color w:val="414041" w:themeColor="text1"/>
                <w:sz w:val="20"/>
                <w:szCs w:val="20"/>
              </w:rPr>
            </w:pPr>
            <w:r w:rsidRPr="00AA346C">
              <w:rPr>
                <w:rFonts w:asciiTheme="majorHAnsi" w:hAnsiTheme="majorHAnsi" w:cstheme="majorHAnsi"/>
                <w:bCs/>
                <w:color w:val="414041" w:themeColor="text1"/>
                <w:sz w:val="20"/>
                <w:szCs w:val="20"/>
              </w:rPr>
              <w:t>($0.0032)</w:t>
            </w:r>
          </w:p>
        </w:tc>
      </w:tr>
      <w:tr w:rsidR="009C5AA9" w:rsidRPr="00AA346C" w14:paraId="116133D0" w14:textId="77777777" w:rsidTr="008B7965">
        <w:trPr>
          <w:trHeight w:val="665"/>
        </w:trPr>
        <w:tc>
          <w:tcPr>
            <w:tcW w:w="425" w:type="pct"/>
            <w:shd w:val="clear" w:color="auto" w:fill="F1F2F0" w:themeFill="text2"/>
          </w:tcPr>
          <w:p w14:paraId="099884F9" w14:textId="77777777" w:rsidR="00AA346C" w:rsidRPr="00AA346C" w:rsidRDefault="00AA346C" w:rsidP="00AA346C">
            <w:pPr>
              <w:jc w:val="center"/>
              <w:rPr>
                <w:rFonts w:asciiTheme="majorHAnsi" w:hAnsiTheme="majorHAnsi" w:cstheme="majorHAnsi"/>
                <w:bCs/>
                <w:color w:val="414041" w:themeColor="text1"/>
                <w:sz w:val="20"/>
                <w:szCs w:val="20"/>
              </w:rPr>
            </w:pPr>
            <w:r w:rsidRPr="00AA346C">
              <w:rPr>
                <w:rFonts w:asciiTheme="majorHAnsi" w:hAnsiTheme="majorHAnsi" w:cstheme="majorHAnsi"/>
                <w:bCs/>
                <w:color w:val="414041" w:themeColor="text1"/>
                <w:sz w:val="20"/>
                <w:szCs w:val="20"/>
              </w:rPr>
              <w:t>2</w:t>
            </w:r>
          </w:p>
        </w:tc>
        <w:tc>
          <w:tcPr>
            <w:tcW w:w="3891" w:type="pct"/>
            <w:shd w:val="clear" w:color="auto" w:fill="F1F2F0" w:themeFill="text2"/>
          </w:tcPr>
          <w:p w14:paraId="3B31FF47" w14:textId="2F827BB9" w:rsidR="00AA346C" w:rsidRPr="00AA346C" w:rsidRDefault="00AA346C" w:rsidP="009C5AA9">
            <w:pPr>
              <w:rPr>
                <w:rFonts w:asciiTheme="majorHAnsi" w:hAnsiTheme="majorHAnsi" w:cstheme="majorHAnsi"/>
                <w:bCs/>
                <w:color w:val="414041" w:themeColor="text1"/>
                <w:sz w:val="20"/>
                <w:szCs w:val="20"/>
              </w:rPr>
            </w:pPr>
            <w:r w:rsidRPr="00AA346C">
              <w:rPr>
                <w:rFonts w:asciiTheme="majorHAnsi" w:hAnsiTheme="majorHAnsi" w:cstheme="majorHAnsi"/>
                <w:sz w:val="20"/>
                <w:szCs w:val="20"/>
              </w:rPr>
              <w:t>Member has a Percent Time at NBBO of ≥ 25% in an average of at least 1,000 securities, at least 100 of which must be MQ Securities, per trading day during the month</w:t>
            </w:r>
          </w:p>
        </w:tc>
        <w:tc>
          <w:tcPr>
            <w:tcW w:w="684" w:type="pct"/>
            <w:shd w:val="clear" w:color="auto" w:fill="F1F2F0" w:themeFill="text2"/>
          </w:tcPr>
          <w:p w14:paraId="081B10D3" w14:textId="5381748E" w:rsidR="00AA346C" w:rsidRPr="00AA346C" w:rsidRDefault="00CB1FF9" w:rsidP="00AA346C">
            <w:pPr>
              <w:jc w:val="center"/>
              <w:rPr>
                <w:rFonts w:asciiTheme="majorHAnsi" w:hAnsiTheme="majorHAnsi" w:cstheme="majorHAnsi"/>
                <w:bCs/>
                <w:color w:val="414041" w:themeColor="text1"/>
                <w:sz w:val="20"/>
                <w:szCs w:val="20"/>
              </w:rPr>
            </w:pPr>
            <w:r>
              <w:rPr>
                <w:rFonts w:asciiTheme="majorHAnsi" w:hAnsiTheme="majorHAnsi" w:cstheme="majorHAnsi"/>
                <w:bCs/>
                <w:color w:val="414041" w:themeColor="text1"/>
                <w:sz w:val="20"/>
                <w:szCs w:val="20"/>
              </w:rPr>
              <w:t>($0.0035</w:t>
            </w:r>
            <w:r w:rsidR="00AA346C" w:rsidRPr="00AA346C">
              <w:rPr>
                <w:rFonts w:asciiTheme="majorHAnsi" w:hAnsiTheme="majorHAnsi" w:cstheme="majorHAnsi"/>
                <w:bCs/>
                <w:color w:val="414041" w:themeColor="text1"/>
                <w:sz w:val="20"/>
                <w:szCs w:val="20"/>
              </w:rPr>
              <w:t>)</w:t>
            </w:r>
          </w:p>
        </w:tc>
      </w:tr>
    </w:tbl>
    <w:p w14:paraId="590D7F23" w14:textId="77777777" w:rsidR="00AA346C" w:rsidRPr="00AA346C" w:rsidRDefault="00AA346C" w:rsidP="00AA346C">
      <w:pPr>
        <w:rPr>
          <w:rFonts w:cstheme="minorHAnsi"/>
          <w:color w:val="414041" w:themeColor="text1"/>
          <w:sz w:val="20"/>
          <w:szCs w:val="20"/>
        </w:rPr>
      </w:pPr>
    </w:p>
    <w:p w14:paraId="75D353FA" w14:textId="5F173E15" w:rsidR="00AA346C" w:rsidRDefault="00AA346C" w:rsidP="00AA346C">
      <w:pPr>
        <w:rPr>
          <w:rFonts w:cstheme="minorHAnsi"/>
          <w:color w:val="414041" w:themeColor="text1"/>
          <w:sz w:val="20"/>
          <w:szCs w:val="20"/>
        </w:rPr>
      </w:pPr>
      <w:r w:rsidRPr="00AA346C">
        <w:rPr>
          <w:rFonts w:cstheme="minorHAnsi"/>
          <w:color w:val="414041" w:themeColor="text1"/>
          <w:sz w:val="20"/>
          <w:szCs w:val="20"/>
        </w:rPr>
        <w:t>The rebates provided for by the above table are applicable to the following fee code</w:t>
      </w:r>
      <w:r>
        <w:rPr>
          <w:rFonts w:cstheme="minorHAnsi"/>
          <w:color w:val="414041" w:themeColor="text1"/>
          <w:sz w:val="20"/>
          <w:szCs w:val="20"/>
        </w:rPr>
        <w:t>s: AA, AB, and AC.</w:t>
      </w:r>
    </w:p>
    <w:p w14:paraId="19B59834" w14:textId="5BD9FBB5" w:rsidR="007D669E" w:rsidRDefault="007D669E" w:rsidP="00AA346C">
      <w:pPr>
        <w:rPr>
          <w:rFonts w:cstheme="minorHAnsi"/>
          <w:color w:val="414041" w:themeColor="text1"/>
          <w:sz w:val="20"/>
          <w:szCs w:val="20"/>
        </w:rPr>
      </w:pPr>
    </w:p>
    <w:p w14:paraId="549A430B" w14:textId="77777777" w:rsidR="007D669E" w:rsidRPr="00AA346C" w:rsidRDefault="007D669E" w:rsidP="00AA346C">
      <w:pPr>
        <w:rPr>
          <w:rFonts w:cstheme="minorHAnsi"/>
          <w:color w:val="414041" w:themeColor="text1"/>
          <w:sz w:val="20"/>
          <w:szCs w:val="20"/>
        </w:rPr>
      </w:pPr>
    </w:p>
    <w:p w14:paraId="0A27E8E4" w14:textId="571EA4C2" w:rsidR="007D669E" w:rsidRPr="00AA346C" w:rsidRDefault="00164544" w:rsidP="007D669E">
      <w:pPr>
        <w:pStyle w:val="Heading2"/>
        <w:ind w:left="360"/>
      </w:pPr>
      <w:r w:rsidRPr="00164544">
        <w:rPr>
          <w:rFonts w:cstheme="minorHAnsi"/>
          <w:color w:val="414041" w:themeColor="text1"/>
          <w:sz w:val="20"/>
          <w:szCs w:val="20"/>
        </w:rPr>
        <w:br w:type="page"/>
      </w:r>
      <w:bookmarkStart w:id="12" w:name="_Toc110949412"/>
      <w:r w:rsidR="00384CA6">
        <w:lastRenderedPageBreak/>
        <w:t>g</w:t>
      </w:r>
      <w:r w:rsidR="007D669E" w:rsidRPr="00AA346C">
        <w:t xml:space="preserve">) </w:t>
      </w:r>
      <w:r w:rsidR="00384CA6">
        <w:t>Step-Up Added Liquidity Rebate</w:t>
      </w:r>
      <w:bookmarkEnd w:id="12"/>
    </w:p>
    <w:p w14:paraId="381E1E4A" w14:textId="77777777" w:rsidR="007D669E" w:rsidRPr="00AA346C" w:rsidRDefault="007D669E" w:rsidP="007D669E">
      <w:pPr>
        <w:rPr>
          <w:rFonts w:cstheme="minorHAnsi"/>
          <w:i/>
          <w:color w:val="414041" w:themeColor="text1"/>
          <w:sz w:val="20"/>
          <w:szCs w:val="20"/>
        </w:rPr>
      </w:pPr>
    </w:p>
    <w:tbl>
      <w:tblPr>
        <w:tblStyle w:val="TableGrid"/>
        <w:tblW w:w="5052" w:type="pct"/>
        <w:tblLook w:val="04A0" w:firstRow="1" w:lastRow="0" w:firstColumn="1" w:lastColumn="0" w:noHBand="0" w:noVBand="1"/>
      </w:tblPr>
      <w:tblGrid>
        <w:gridCol w:w="895"/>
        <w:gridCol w:w="7472"/>
        <w:gridCol w:w="2157"/>
      </w:tblGrid>
      <w:tr w:rsidR="007D669E" w:rsidRPr="00AA346C" w14:paraId="495675BE" w14:textId="77777777" w:rsidTr="00384CA6">
        <w:trPr>
          <w:trHeight w:val="620"/>
        </w:trPr>
        <w:tc>
          <w:tcPr>
            <w:tcW w:w="425" w:type="pct"/>
            <w:shd w:val="clear" w:color="auto" w:fill="414041" w:themeFill="text1"/>
            <w:vAlign w:val="bottom"/>
          </w:tcPr>
          <w:p w14:paraId="767CBDD8" w14:textId="77777777" w:rsidR="007D669E" w:rsidRPr="00164544" w:rsidRDefault="007D669E" w:rsidP="00A32F3F">
            <w:pPr>
              <w:jc w:val="center"/>
              <w:rPr>
                <w:b/>
                <w:bCs/>
                <w:color w:val="FFFFFF" w:themeColor="background1"/>
                <w:sz w:val="20"/>
                <w:szCs w:val="20"/>
              </w:rPr>
            </w:pPr>
            <w:r w:rsidRPr="00164544">
              <w:rPr>
                <w:b/>
                <w:bCs/>
                <w:color w:val="FFFFFF" w:themeColor="background1"/>
                <w:sz w:val="20"/>
                <w:szCs w:val="20"/>
              </w:rPr>
              <w:t>Tier</w:t>
            </w:r>
          </w:p>
          <w:p w14:paraId="2A8BF3D1" w14:textId="77777777" w:rsidR="007D669E" w:rsidRPr="00AA346C" w:rsidRDefault="007D669E" w:rsidP="00A32F3F">
            <w:pPr>
              <w:rPr>
                <w:rFonts w:cstheme="minorHAnsi"/>
                <w:b/>
                <w:bCs/>
                <w:color w:val="414041" w:themeColor="text1"/>
                <w:sz w:val="20"/>
                <w:szCs w:val="20"/>
              </w:rPr>
            </w:pPr>
          </w:p>
        </w:tc>
        <w:tc>
          <w:tcPr>
            <w:tcW w:w="3550" w:type="pct"/>
            <w:shd w:val="clear" w:color="auto" w:fill="414041" w:themeFill="text1"/>
            <w:vAlign w:val="bottom"/>
          </w:tcPr>
          <w:p w14:paraId="56156594" w14:textId="77777777" w:rsidR="007D669E" w:rsidRPr="00164544" w:rsidRDefault="007D669E" w:rsidP="00A32F3F">
            <w:pPr>
              <w:jc w:val="center"/>
              <w:rPr>
                <w:b/>
                <w:bCs/>
                <w:color w:val="FFFFFF" w:themeColor="background1"/>
                <w:sz w:val="20"/>
                <w:szCs w:val="20"/>
              </w:rPr>
            </w:pPr>
            <w:r>
              <w:rPr>
                <w:b/>
                <w:bCs/>
                <w:color w:val="FFFFFF" w:themeColor="background1"/>
                <w:sz w:val="20"/>
                <w:szCs w:val="20"/>
              </w:rPr>
              <w:t>Required Criteria</w:t>
            </w:r>
          </w:p>
          <w:p w14:paraId="0DE6B1A4" w14:textId="77777777" w:rsidR="007D669E" w:rsidRPr="00AA346C" w:rsidRDefault="007D669E" w:rsidP="00A32F3F">
            <w:pPr>
              <w:rPr>
                <w:rFonts w:cstheme="minorHAnsi"/>
                <w:b/>
                <w:bCs/>
                <w:color w:val="414041" w:themeColor="text1"/>
                <w:sz w:val="20"/>
                <w:szCs w:val="20"/>
              </w:rPr>
            </w:pPr>
          </w:p>
        </w:tc>
        <w:tc>
          <w:tcPr>
            <w:tcW w:w="1026" w:type="pct"/>
            <w:shd w:val="clear" w:color="auto" w:fill="414041" w:themeFill="text1"/>
            <w:vAlign w:val="bottom"/>
          </w:tcPr>
          <w:p w14:paraId="66399001" w14:textId="77777777" w:rsidR="007D669E" w:rsidRPr="00AA346C" w:rsidRDefault="007D669E" w:rsidP="00A32F3F">
            <w:pPr>
              <w:jc w:val="center"/>
              <w:rPr>
                <w:rFonts w:cstheme="minorHAnsi"/>
                <w:b/>
                <w:bCs/>
                <w:color w:val="414041" w:themeColor="text1"/>
                <w:sz w:val="20"/>
                <w:szCs w:val="20"/>
              </w:rPr>
            </w:pPr>
            <w:r w:rsidRPr="00164544">
              <w:rPr>
                <w:b/>
                <w:bCs/>
                <w:color w:val="FFFFFF" w:themeColor="background1"/>
                <w:sz w:val="20"/>
                <w:szCs w:val="20"/>
              </w:rPr>
              <w:t>Securities Priced at or Above $1.00</w:t>
            </w:r>
          </w:p>
        </w:tc>
      </w:tr>
      <w:tr w:rsidR="00384CA6" w:rsidRPr="00AA346C" w14:paraId="33563105" w14:textId="77777777" w:rsidTr="00384CA6">
        <w:trPr>
          <w:trHeight w:val="332"/>
        </w:trPr>
        <w:tc>
          <w:tcPr>
            <w:tcW w:w="425" w:type="pct"/>
          </w:tcPr>
          <w:p w14:paraId="14EFCBC6" w14:textId="77777777" w:rsidR="00384CA6" w:rsidRPr="00BF6208" w:rsidRDefault="00384CA6" w:rsidP="00384CA6">
            <w:pPr>
              <w:jc w:val="center"/>
              <w:rPr>
                <w:rFonts w:cstheme="minorHAnsi"/>
                <w:color w:val="414041" w:themeColor="text1"/>
                <w:sz w:val="20"/>
                <w:szCs w:val="20"/>
              </w:rPr>
            </w:pPr>
            <w:r w:rsidRPr="00BF6208">
              <w:rPr>
                <w:rFonts w:cstheme="minorHAnsi"/>
                <w:color w:val="414041" w:themeColor="text1"/>
                <w:sz w:val="20"/>
                <w:szCs w:val="20"/>
              </w:rPr>
              <w:t>1</w:t>
            </w:r>
          </w:p>
        </w:tc>
        <w:tc>
          <w:tcPr>
            <w:tcW w:w="3550" w:type="pct"/>
            <w:shd w:val="clear" w:color="auto" w:fill="auto"/>
          </w:tcPr>
          <w:p w14:paraId="4E6924EC" w14:textId="70C4BA8E" w:rsidR="00384CA6" w:rsidRPr="00384CA6" w:rsidRDefault="00BF6208" w:rsidP="00384CA6">
            <w:pPr>
              <w:rPr>
                <w:rFonts w:cstheme="minorHAnsi"/>
                <w:color w:val="414041" w:themeColor="text1"/>
                <w:sz w:val="20"/>
                <w:szCs w:val="20"/>
              </w:rPr>
            </w:pPr>
            <w:r w:rsidRPr="00BF6208">
              <w:rPr>
                <w:rFonts w:cstheme="minorHAnsi"/>
                <w:color w:val="414041" w:themeColor="text1"/>
                <w:sz w:val="20"/>
                <w:szCs w:val="20"/>
              </w:rPr>
              <w:t>Step-Up ADAV as a % of TCV from July 2022 ≥ 0.03% of the TCV</w:t>
            </w:r>
          </w:p>
        </w:tc>
        <w:tc>
          <w:tcPr>
            <w:tcW w:w="1026" w:type="pct"/>
            <w:shd w:val="clear" w:color="auto" w:fill="auto"/>
          </w:tcPr>
          <w:p w14:paraId="32BA6234" w14:textId="48975021" w:rsidR="00384CA6" w:rsidRPr="00384CA6" w:rsidRDefault="00384CA6" w:rsidP="00384CA6">
            <w:pPr>
              <w:jc w:val="center"/>
              <w:rPr>
                <w:rFonts w:cstheme="minorHAnsi"/>
                <w:color w:val="414041" w:themeColor="text1"/>
                <w:sz w:val="20"/>
                <w:szCs w:val="20"/>
              </w:rPr>
            </w:pPr>
            <w:r w:rsidRPr="00384CA6">
              <w:rPr>
                <w:rFonts w:cstheme="minorHAnsi"/>
                <w:color w:val="414041" w:themeColor="text1"/>
                <w:sz w:val="20"/>
                <w:szCs w:val="20"/>
              </w:rPr>
              <w:t>($0.0031)</w:t>
            </w:r>
          </w:p>
        </w:tc>
      </w:tr>
    </w:tbl>
    <w:p w14:paraId="1748681F" w14:textId="77777777" w:rsidR="007D669E" w:rsidRPr="00AA346C" w:rsidRDefault="007D669E" w:rsidP="007D669E">
      <w:pPr>
        <w:rPr>
          <w:rFonts w:cstheme="minorHAnsi"/>
          <w:color w:val="414041" w:themeColor="text1"/>
          <w:sz w:val="20"/>
          <w:szCs w:val="20"/>
        </w:rPr>
      </w:pPr>
    </w:p>
    <w:p w14:paraId="09A6906E" w14:textId="18A818F1" w:rsidR="00FC02F1" w:rsidRDefault="00384CA6" w:rsidP="007D669E">
      <w:pPr>
        <w:rPr>
          <w:rFonts w:cstheme="minorHAnsi"/>
          <w:color w:val="414041" w:themeColor="text1"/>
          <w:sz w:val="20"/>
          <w:szCs w:val="20"/>
        </w:rPr>
      </w:pPr>
      <w:r>
        <w:rPr>
          <w:rFonts w:cstheme="minorHAnsi"/>
          <w:color w:val="414041" w:themeColor="text1"/>
          <w:sz w:val="20"/>
          <w:szCs w:val="20"/>
        </w:rPr>
        <w:t>The rebate</w:t>
      </w:r>
      <w:r w:rsidR="007D669E" w:rsidRPr="00AA346C">
        <w:rPr>
          <w:rFonts w:cstheme="minorHAnsi"/>
          <w:color w:val="414041" w:themeColor="text1"/>
          <w:sz w:val="20"/>
          <w:szCs w:val="20"/>
        </w:rPr>
        <w:t xml:space="preserve"> provided for by the above table </w:t>
      </w:r>
      <w:r>
        <w:rPr>
          <w:rFonts w:cstheme="minorHAnsi"/>
          <w:color w:val="414041" w:themeColor="text1"/>
          <w:sz w:val="20"/>
          <w:szCs w:val="20"/>
        </w:rPr>
        <w:t>is</w:t>
      </w:r>
      <w:r w:rsidR="007D669E" w:rsidRPr="00AA346C">
        <w:rPr>
          <w:rFonts w:cstheme="minorHAnsi"/>
          <w:color w:val="414041" w:themeColor="text1"/>
          <w:sz w:val="20"/>
          <w:szCs w:val="20"/>
        </w:rPr>
        <w:t xml:space="preserve"> applicable to the following fee code</w:t>
      </w:r>
      <w:r w:rsidR="007D669E">
        <w:rPr>
          <w:rFonts w:cstheme="minorHAnsi"/>
          <w:color w:val="414041" w:themeColor="text1"/>
          <w:sz w:val="20"/>
          <w:szCs w:val="20"/>
        </w:rPr>
        <w:t>s: AA, AB, and AC</w:t>
      </w:r>
      <w:r>
        <w:rPr>
          <w:rFonts w:cstheme="minorHAnsi"/>
          <w:color w:val="414041" w:themeColor="text1"/>
          <w:sz w:val="20"/>
          <w:szCs w:val="20"/>
        </w:rPr>
        <w:t>.</w:t>
      </w:r>
    </w:p>
    <w:p w14:paraId="78724B52" w14:textId="599FCB61" w:rsidR="007D669E" w:rsidRDefault="007D669E" w:rsidP="007D669E">
      <w:pPr>
        <w:rPr>
          <w:rFonts w:cstheme="minorHAnsi"/>
          <w:color w:val="414041" w:themeColor="text1"/>
          <w:sz w:val="20"/>
          <w:szCs w:val="20"/>
        </w:rPr>
      </w:pPr>
    </w:p>
    <w:p w14:paraId="624A26A5" w14:textId="391AA176" w:rsidR="007D669E" w:rsidRDefault="007D669E" w:rsidP="007D669E">
      <w:pPr>
        <w:rPr>
          <w:rFonts w:cstheme="minorHAnsi"/>
          <w:color w:val="414041" w:themeColor="text1"/>
          <w:sz w:val="20"/>
          <w:szCs w:val="20"/>
        </w:rPr>
      </w:pPr>
    </w:p>
    <w:p w14:paraId="4DB1016F" w14:textId="18710292" w:rsidR="007D669E" w:rsidRDefault="007D669E" w:rsidP="007D669E">
      <w:pPr>
        <w:rPr>
          <w:rFonts w:cstheme="minorHAnsi"/>
          <w:color w:val="414041" w:themeColor="text1"/>
          <w:sz w:val="20"/>
          <w:szCs w:val="20"/>
        </w:rPr>
      </w:pPr>
    </w:p>
    <w:p w14:paraId="427C4F57" w14:textId="248FB43B" w:rsidR="007D669E" w:rsidRDefault="007D669E" w:rsidP="007D669E">
      <w:pPr>
        <w:rPr>
          <w:rFonts w:cstheme="minorHAnsi"/>
          <w:color w:val="414041" w:themeColor="text1"/>
          <w:sz w:val="20"/>
          <w:szCs w:val="20"/>
        </w:rPr>
      </w:pPr>
    </w:p>
    <w:p w14:paraId="38020816" w14:textId="17C25497" w:rsidR="007D669E" w:rsidRDefault="007D669E" w:rsidP="007D669E">
      <w:pPr>
        <w:rPr>
          <w:rFonts w:cstheme="minorHAnsi"/>
          <w:color w:val="414041" w:themeColor="text1"/>
          <w:sz w:val="20"/>
          <w:szCs w:val="20"/>
        </w:rPr>
      </w:pPr>
    </w:p>
    <w:p w14:paraId="1533F435" w14:textId="54D9AA8D" w:rsidR="007D669E" w:rsidRDefault="007D669E" w:rsidP="007D669E">
      <w:pPr>
        <w:rPr>
          <w:rFonts w:cstheme="minorHAnsi"/>
          <w:color w:val="414041" w:themeColor="text1"/>
          <w:sz w:val="20"/>
          <w:szCs w:val="20"/>
        </w:rPr>
      </w:pPr>
    </w:p>
    <w:p w14:paraId="3D70B8B7" w14:textId="00F0A94A" w:rsidR="007D669E" w:rsidRDefault="007D669E" w:rsidP="007D669E">
      <w:pPr>
        <w:rPr>
          <w:rFonts w:cstheme="minorHAnsi"/>
          <w:color w:val="414041" w:themeColor="text1"/>
          <w:sz w:val="20"/>
          <w:szCs w:val="20"/>
        </w:rPr>
      </w:pPr>
    </w:p>
    <w:p w14:paraId="2B9B1EF3" w14:textId="55816A1E" w:rsidR="007D669E" w:rsidRDefault="007D669E" w:rsidP="007D669E">
      <w:pPr>
        <w:rPr>
          <w:rFonts w:cstheme="minorHAnsi"/>
          <w:color w:val="414041" w:themeColor="text1"/>
          <w:sz w:val="20"/>
          <w:szCs w:val="20"/>
        </w:rPr>
      </w:pPr>
    </w:p>
    <w:p w14:paraId="60D0E05B" w14:textId="5D3076D0" w:rsidR="007D669E" w:rsidRDefault="007D669E" w:rsidP="007D669E">
      <w:pPr>
        <w:rPr>
          <w:rFonts w:cstheme="minorHAnsi"/>
          <w:color w:val="414041" w:themeColor="text1"/>
          <w:sz w:val="20"/>
          <w:szCs w:val="20"/>
        </w:rPr>
      </w:pPr>
    </w:p>
    <w:p w14:paraId="274AF683" w14:textId="20FA2F38" w:rsidR="007D669E" w:rsidRDefault="007D669E" w:rsidP="007D669E">
      <w:pPr>
        <w:rPr>
          <w:rFonts w:cstheme="minorHAnsi"/>
          <w:color w:val="414041" w:themeColor="text1"/>
          <w:sz w:val="20"/>
          <w:szCs w:val="20"/>
        </w:rPr>
      </w:pPr>
    </w:p>
    <w:p w14:paraId="38F240D9" w14:textId="35754CA0" w:rsidR="007D669E" w:rsidRDefault="007D669E" w:rsidP="007D669E">
      <w:pPr>
        <w:rPr>
          <w:rFonts w:cstheme="minorHAnsi"/>
          <w:color w:val="414041" w:themeColor="text1"/>
          <w:sz w:val="20"/>
          <w:szCs w:val="20"/>
        </w:rPr>
      </w:pPr>
    </w:p>
    <w:p w14:paraId="70097608" w14:textId="16DCAE3A" w:rsidR="007D669E" w:rsidRDefault="007D669E" w:rsidP="007D669E">
      <w:pPr>
        <w:rPr>
          <w:rFonts w:cstheme="minorHAnsi"/>
          <w:color w:val="414041" w:themeColor="text1"/>
          <w:sz w:val="20"/>
          <w:szCs w:val="20"/>
        </w:rPr>
      </w:pPr>
    </w:p>
    <w:p w14:paraId="2B14A82F" w14:textId="440F44E6" w:rsidR="007D669E" w:rsidRDefault="007D669E" w:rsidP="007D669E">
      <w:pPr>
        <w:rPr>
          <w:rFonts w:cstheme="minorHAnsi"/>
          <w:color w:val="414041" w:themeColor="text1"/>
          <w:sz w:val="20"/>
          <w:szCs w:val="20"/>
        </w:rPr>
      </w:pPr>
    </w:p>
    <w:p w14:paraId="18D31163" w14:textId="301C8283" w:rsidR="007D669E" w:rsidRDefault="007D669E" w:rsidP="007D669E">
      <w:pPr>
        <w:rPr>
          <w:rFonts w:cstheme="minorHAnsi"/>
          <w:color w:val="414041" w:themeColor="text1"/>
          <w:sz w:val="20"/>
          <w:szCs w:val="20"/>
        </w:rPr>
      </w:pPr>
    </w:p>
    <w:p w14:paraId="50C79BBA" w14:textId="5C264F59" w:rsidR="007D669E" w:rsidRDefault="007D669E" w:rsidP="007D669E">
      <w:pPr>
        <w:rPr>
          <w:rFonts w:cstheme="minorHAnsi"/>
          <w:color w:val="414041" w:themeColor="text1"/>
          <w:sz w:val="20"/>
          <w:szCs w:val="20"/>
        </w:rPr>
      </w:pPr>
    </w:p>
    <w:p w14:paraId="44BEF202" w14:textId="140E7754" w:rsidR="007D669E" w:rsidRDefault="007D669E" w:rsidP="007D669E">
      <w:pPr>
        <w:rPr>
          <w:rFonts w:cstheme="minorHAnsi"/>
          <w:color w:val="414041" w:themeColor="text1"/>
          <w:sz w:val="20"/>
          <w:szCs w:val="20"/>
        </w:rPr>
      </w:pPr>
    </w:p>
    <w:p w14:paraId="0A04A07E" w14:textId="4DF3395F" w:rsidR="007D669E" w:rsidRDefault="007D669E" w:rsidP="007D669E">
      <w:pPr>
        <w:rPr>
          <w:rFonts w:cstheme="minorHAnsi"/>
          <w:color w:val="414041" w:themeColor="text1"/>
          <w:sz w:val="20"/>
          <w:szCs w:val="20"/>
        </w:rPr>
      </w:pPr>
    </w:p>
    <w:p w14:paraId="06ECBE78" w14:textId="21CCA2CA" w:rsidR="007D669E" w:rsidRDefault="007D669E" w:rsidP="007D669E">
      <w:pPr>
        <w:rPr>
          <w:rFonts w:cstheme="minorHAnsi"/>
          <w:color w:val="414041" w:themeColor="text1"/>
          <w:sz w:val="20"/>
          <w:szCs w:val="20"/>
        </w:rPr>
      </w:pPr>
    </w:p>
    <w:p w14:paraId="428DF207" w14:textId="467799C2" w:rsidR="007D669E" w:rsidRDefault="007D669E" w:rsidP="007D669E">
      <w:pPr>
        <w:rPr>
          <w:rFonts w:cstheme="minorHAnsi"/>
          <w:color w:val="414041" w:themeColor="text1"/>
          <w:sz w:val="20"/>
          <w:szCs w:val="20"/>
        </w:rPr>
      </w:pPr>
    </w:p>
    <w:p w14:paraId="75528DE7" w14:textId="4A4626E3" w:rsidR="007D669E" w:rsidRDefault="007D669E" w:rsidP="007D669E">
      <w:pPr>
        <w:rPr>
          <w:rFonts w:cstheme="minorHAnsi"/>
          <w:color w:val="414041" w:themeColor="text1"/>
          <w:sz w:val="20"/>
          <w:szCs w:val="20"/>
        </w:rPr>
      </w:pPr>
    </w:p>
    <w:p w14:paraId="004EC077" w14:textId="267AF670" w:rsidR="007D669E" w:rsidRDefault="007D669E" w:rsidP="007D669E">
      <w:pPr>
        <w:rPr>
          <w:rFonts w:cstheme="minorHAnsi"/>
          <w:color w:val="414041" w:themeColor="text1"/>
          <w:sz w:val="20"/>
          <w:szCs w:val="20"/>
        </w:rPr>
      </w:pPr>
    </w:p>
    <w:p w14:paraId="564CDEF5" w14:textId="1489B38B" w:rsidR="007D669E" w:rsidRDefault="007D669E" w:rsidP="007D669E">
      <w:pPr>
        <w:rPr>
          <w:rFonts w:cstheme="minorHAnsi"/>
          <w:color w:val="414041" w:themeColor="text1"/>
          <w:sz w:val="20"/>
          <w:szCs w:val="20"/>
        </w:rPr>
      </w:pPr>
    </w:p>
    <w:p w14:paraId="01B98ED3" w14:textId="08C7D9A4" w:rsidR="007D669E" w:rsidRDefault="007D669E" w:rsidP="007D669E">
      <w:pPr>
        <w:rPr>
          <w:rFonts w:cstheme="minorHAnsi"/>
          <w:color w:val="414041" w:themeColor="text1"/>
          <w:sz w:val="20"/>
          <w:szCs w:val="20"/>
        </w:rPr>
      </w:pPr>
    </w:p>
    <w:p w14:paraId="75F526EA" w14:textId="3E5326DB" w:rsidR="007D669E" w:rsidRDefault="007D669E" w:rsidP="007D669E">
      <w:pPr>
        <w:rPr>
          <w:rFonts w:cstheme="minorHAnsi"/>
          <w:color w:val="414041" w:themeColor="text1"/>
          <w:sz w:val="20"/>
          <w:szCs w:val="20"/>
        </w:rPr>
      </w:pPr>
    </w:p>
    <w:p w14:paraId="17066578" w14:textId="0DE67880" w:rsidR="007D669E" w:rsidRDefault="007D669E" w:rsidP="007D669E">
      <w:pPr>
        <w:rPr>
          <w:rFonts w:cstheme="minorHAnsi"/>
          <w:color w:val="414041" w:themeColor="text1"/>
          <w:sz w:val="20"/>
          <w:szCs w:val="20"/>
        </w:rPr>
      </w:pPr>
    </w:p>
    <w:p w14:paraId="5DA985E4" w14:textId="216C60D1" w:rsidR="007D669E" w:rsidRDefault="007D669E" w:rsidP="007D669E">
      <w:pPr>
        <w:rPr>
          <w:rFonts w:cstheme="minorHAnsi"/>
          <w:color w:val="414041" w:themeColor="text1"/>
          <w:sz w:val="20"/>
          <w:szCs w:val="20"/>
        </w:rPr>
      </w:pPr>
    </w:p>
    <w:p w14:paraId="55CAFA88" w14:textId="31286020" w:rsidR="007D669E" w:rsidRDefault="007D669E" w:rsidP="007D669E">
      <w:pPr>
        <w:rPr>
          <w:rFonts w:cstheme="minorHAnsi"/>
          <w:color w:val="414041" w:themeColor="text1"/>
          <w:sz w:val="20"/>
          <w:szCs w:val="20"/>
        </w:rPr>
      </w:pPr>
    </w:p>
    <w:p w14:paraId="74FC823D" w14:textId="4BFA1AAD" w:rsidR="007D669E" w:rsidRDefault="007D669E" w:rsidP="007D669E">
      <w:pPr>
        <w:rPr>
          <w:rFonts w:cstheme="minorHAnsi"/>
          <w:color w:val="414041" w:themeColor="text1"/>
          <w:sz w:val="20"/>
          <w:szCs w:val="20"/>
        </w:rPr>
      </w:pPr>
    </w:p>
    <w:p w14:paraId="54DE420D" w14:textId="2FA12A8D" w:rsidR="007D669E" w:rsidRDefault="007D669E" w:rsidP="007D669E">
      <w:pPr>
        <w:rPr>
          <w:rFonts w:cstheme="minorHAnsi"/>
          <w:color w:val="414041" w:themeColor="text1"/>
          <w:sz w:val="20"/>
          <w:szCs w:val="20"/>
        </w:rPr>
      </w:pPr>
    </w:p>
    <w:p w14:paraId="54EA4202" w14:textId="4512625B" w:rsidR="007D669E" w:rsidRDefault="007D669E" w:rsidP="007D669E">
      <w:pPr>
        <w:rPr>
          <w:rFonts w:cstheme="minorHAnsi"/>
          <w:color w:val="414041" w:themeColor="text1"/>
          <w:sz w:val="20"/>
          <w:szCs w:val="20"/>
        </w:rPr>
      </w:pPr>
    </w:p>
    <w:p w14:paraId="6D5415C5" w14:textId="0D56C4DA" w:rsidR="007D669E" w:rsidRDefault="007D669E" w:rsidP="007D669E">
      <w:pPr>
        <w:rPr>
          <w:rFonts w:cstheme="minorHAnsi"/>
          <w:color w:val="414041" w:themeColor="text1"/>
          <w:sz w:val="20"/>
          <w:szCs w:val="20"/>
        </w:rPr>
      </w:pPr>
    </w:p>
    <w:p w14:paraId="54CA8FC0" w14:textId="3FD14FC3" w:rsidR="007D669E" w:rsidRDefault="007D669E" w:rsidP="007D669E">
      <w:pPr>
        <w:rPr>
          <w:rFonts w:cstheme="minorHAnsi"/>
          <w:color w:val="414041" w:themeColor="text1"/>
          <w:sz w:val="20"/>
          <w:szCs w:val="20"/>
        </w:rPr>
      </w:pPr>
    </w:p>
    <w:p w14:paraId="5BEDD005" w14:textId="39BA34AA" w:rsidR="007D669E" w:rsidRDefault="007D669E" w:rsidP="007D669E">
      <w:pPr>
        <w:rPr>
          <w:rFonts w:cstheme="minorHAnsi"/>
          <w:color w:val="414041" w:themeColor="text1"/>
          <w:sz w:val="20"/>
          <w:szCs w:val="20"/>
        </w:rPr>
      </w:pPr>
    </w:p>
    <w:p w14:paraId="37831E6C" w14:textId="3B70F916" w:rsidR="007D669E" w:rsidRDefault="007D669E" w:rsidP="007D669E">
      <w:pPr>
        <w:rPr>
          <w:rFonts w:cstheme="minorHAnsi"/>
          <w:color w:val="414041" w:themeColor="text1"/>
          <w:sz w:val="20"/>
          <w:szCs w:val="20"/>
        </w:rPr>
      </w:pPr>
    </w:p>
    <w:p w14:paraId="78109249" w14:textId="4AB1AC9A" w:rsidR="007D669E" w:rsidRDefault="007D669E" w:rsidP="007D669E">
      <w:pPr>
        <w:rPr>
          <w:rFonts w:cstheme="minorHAnsi"/>
          <w:color w:val="414041" w:themeColor="text1"/>
          <w:sz w:val="20"/>
          <w:szCs w:val="20"/>
        </w:rPr>
      </w:pPr>
    </w:p>
    <w:p w14:paraId="1D377939" w14:textId="58083BFB" w:rsidR="007D669E" w:rsidRDefault="007D669E" w:rsidP="007D669E">
      <w:pPr>
        <w:rPr>
          <w:rFonts w:cstheme="minorHAnsi"/>
          <w:color w:val="414041" w:themeColor="text1"/>
          <w:sz w:val="20"/>
          <w:szCs w:val="20"/>
        </w:rPr>
      </w:pPr>
    </w:p>
    <w:p w14:paraId="4EF1E19A" w14:textId="777B3BA1" w:rsidR="007D669E" w:rsidRDefault="007D669E" w:rsidP="007D669E">
      <w:pPr>
        <w:rPr>
          <w:rFonts w:cstheme="minorHAnsi"/>
          <w:color w:val="414041" w:themeColor="text1"/>
          <w:sz w:val="20"/>
          <w:szCs w:val="20"/>
        </w:rPr>
      </w:pPr>
    </w:p>
    <w:p w14:paraId="4DAB85F3" w14:textId="260993CE" w:rsidR="007D669E" w:rsidRDefault="007D669E" w:rsidP="007D669E">
      <w:pPr>
        <w:rPr>
          <w:rFonts w:cstheme="minorHAnsi"/>
          <w:color w:val="414041" w:themeColor="text1"/>
          <w:sz w:val="20"/>
          <w:szCs w:val="20"/>
        </w:rPr>
      </w:pPr>
    </w:p>
    <w:p w14:paraId="5877FFAE" w14:textId="7FB376B3" w:rsidR="00384CA6" w:rsidRDefault="00384CA6">
      <w:pPr>
        <w:rPr>
          <w:rFonts w:cstheme="minorHAnsi"/>
          <w:color w:val="414041" w:themeColor="text1"/>
          <w:sz w:val="20"/>
          <w:szCs w:val="20"/>
        </w:rPr>
      </w:pPr>
      <w:r>
        <w:rPr>
          <w:rFonts w:cstheme="minorHAnsi"/>
          <w:color w:val="414041" w:themeColor="text1"/>
          <w:sz w:val="20"/>
          <w:szCs w:val="20"/>
        </w:rPr>
        <w:br w:type="page"/>
      </w:r>
    </w:p>
    <w:p w14:paraId="44142D49" w14:textId="29A78251" w:rsidR="00823852" w:rsidRDefault="00823852" w:rsidP="00823852">
      <w:pPr>
        <w:pStyle w:val="Heading1"/>
      </w:pPr>
      <w:bookmarkStart w:id="13" w:name="_Toc110949413"/>
      <w:r>
        <w:lastRenderedPageBreak/>
        <w:t xml:space="preserve">2) </w:t>
      </w:r>
      <w:r w:rsidR="00287307">
        <w:t>System Connectivity</w:t>
      </w:r>
      <w:r>
        <w:t xml:space="preserve"> Fees</w:t>
      </w:r>
      <w:bookmarkEnd w:id="13"/>
    </w:p>
    <w:p w14:paraId="66C87239" w14:textId="06B81FF9" w:rsidR="00823852" w:rsidRDefault="00823852" w:rsidP="00823852">
      <w:pPr>
        <w:pStyle w:val="BODYMIAX"/>
      </w:pPr>
    </w:p>
    <w:p w14:paraId="60AF5551" w14:textId="138E0A94" w:rsidR="00823852" w:rsidRDefault="00823852" w:rsidP="007A63F9">
      <w:pPr>
        <w:pStyle w:val="Heading2"/>
        <w:ind w:left="360"/>
      </w:pPr>
      <w:bookmarkStart w:id="14" w:name="_Toc110949414"/>
      <w:r>
        <w:t xml:space="preserve">a) </w:t>
      </w:r>
      <w:r w:rsidR="00287307">
        <w:t>Monthly Member Network Connectivity Fee</w:t>
      </w:r>
      <w:r w:rsidR="00480245">
        <w:t>s</w:t>
      </w:r>
      <w:bookmarkEnd w:id="14"/>
    </w:p>
    <w:p w14:paraId="72F21C88" w14:textId="366C94E1" w:rsidR="00823852" w:rsidRDefault="00823852" w:rsidP="00823852">
      <w:pPr>
        <w:pStyle w:val="BODYMIAX"/>
        <w:ind w:left="720"/>
      </w:pPr>
    </w:p>
    <w:tbl>
      <w:tblPr>
        <w:tblStyle w:val="TableGrid"/>
        <w:tblW w:w="0" w:type="auto"/>
        <w:tblBorders>
          <w:top w:val="single" w:sz="4" w:space="0" w:color="A6A6A6" w:themeColor="accent2"/>
          <w:left w:val="single" w:sz="4" w:space="0" w:color="A6A6A6" w:themeColor="accent2"/>
          <w:bottom w:val="single" w:sz="4" w:space="0" w:color="A6A6A6" w:themeColor="accent2"/>
          <w:right w:val="single" w:sz="4" w:space="0" w:color="A6A6A6" w:themeColor="accent2"/>
          <w:insideH w:val="single" w:sz="4" w:space="0" w:color="A6A6A6" w:themeColor="accent2"/>
          <w:insideV w:val="single" w:sz="4" w:space="0" w:color="A6A6A6" w:themeColor="accent2"/>
        </w:tblBorders>
        <w:tblLook w:val="04A0" w:firstRow="1" w:lastRow="0" w:firstColumn="1" w:lastColumn="0" w:noHBand="0" w:noVBand="1"/>
      </w:tblPr>
      <w:tblGrid>
        <w:gridCol w:w="2083"/>
        <w:gridCol w:w="2083"/>
        <w:gridCol w:w="2083"/>
        <w:gridCol w:w="2083"/>
        <w:gridCol w:w="2084"/>
      </w:tblGrid>
      <w:tr w:rsidR="00287307" w14:paraId="62D47BD0" w14:textId="77777777" w:rsidTr="001E7E8D">
        <w:tc>
          <w:tcPr>
            <w:tcW w:w="2083" w:type="dxa"/>
            <w:shd w:val="clear" w:color="auto" w:fill="414041" w:themeFill="text1"/>
            <w:vAlign w:val="bottom"/>
          </w:tcPr>
          <w:p w14:paraId="6ED87DDF" w14:textId="631E2A87" w:rsidR="00287307" w:rsidRPr="00287307" w:rsidRDefault="00287307" w:rsidP="00287307">
            <w:pPr>
              <w:pStyle w:val="BODYMIAX"/>
              <w:jc w:val="center"/>
              <w:rPr>
                <w:b/>
                <w:bCs/>
                <w:color w:val="FFFFFF" w:themeColor="background1"/>
              </w:rPr>
            </w:pPr>
            <w:r w:rsidRPr="00287307">
              <w:rPr>
                <w:b/>
                <w:bCs/>
                <w:color w:val="FFFFFF" w:themeColor="background1"/>
              </w:rPr>
              <w:t>Member Network Connectivity Per Month</w:t>
            </w:r>
          </w:p>
        </w:tc>
        <w:tc>
          <w:tcPr>
            <w:tcW w:w="2083" w:type="dxa"/>
            <w:shd w:val="clear" w:color="auto" w:fill="414041" w:themeFill="text1"/>
            <w:vAlign w:val="bottom"/>
          </w:tcPr>
          <w:p w14:paraId="0261C78E" w14:textId="5D1318F0" w:rsidR="00287307" w:rsidRPr="00287307" w:rsidRDefault="00287307" w:rsidP="00287307">
            <w:pPr>
              <w:pStyle w:val="BODYMIAX"/>
              <w:jc w:val="center"/>
              <w:rPr>
                <w:b/>
                <w:bCs/>
                <w:color w:val="FFFFFF" w:themeColor="background1"/>
              </w:rPr>
            </w:pPr>
            <w:r w:rsidRPr="00287307">
              <w:rPr>
                <w:b/>
                <w:bCs/>
                <w:color w:val="FFFFFF" w:themeColor="background1"/>
              </w:rPr>
              <w:t>Primary/ Secondary Facility 1 Gigabit ULL Per Connection</w:t>
            </w:r>
          </w:p>
        </w:tc>
        <w:tc>
          <w:tcPr>
            <w:tcW w:w="2083" w:type="dxa"/>
            <w:shd w:val="clear" w:color="auto" w:fill="414041" w:themeFill="text1"/>
            <w:vAlign w:val="bottom"/>
          </w:tcPr>
          <w:p w14:paraId="7C3149A8" w14:textId="50E5DB7A" w:rsidR="00287307" w:rsidRPr="00287307" w:rsidRDefault="00287307" w:rsidP="00287307">
            <w:pPr>
              <w:pStyle w:val="BODYMIAX"/>
              <w:jc w:val="center"/>
              <w:rPr>
                <w:b/>
                <w:bCs/>
                <w:color w:val="FFFFFF" w:themeColor="background1"/>
              </w:rPr>
            </w:pPr>
            <w:r w:rsidRPr="00287307">
              <w:rPr>
                <w:b/>
                <w:bCs/>
                <w:color w:val="FFFFFF" w:themeColor="background1"/>
              </w:rPr>
              <w:t>Disaster Recovery Facility 1 Gigabit ULL Per Connection</w:t>
            </w:r>
          </w:p>
        </w:tc>
        <w:tc>
          <w:tcPr>
            <w:tcW w:w="2083" w:type="dxa"/>
            <w:shd w:val="clear" w:color="auto" w:fill="414041" w:themeFill="text1"/>
            <w:vAlign w:val="bottom"/>
          </w:tcPr>
          <w:p w14:paraId="09E39F48" w14:textId="5E8A2B14" w:rsidR="00287307" w:rsidRPr="00287307" w:rsidRDefault="00287307" w:rsidP="00287307">
            <w:pPr>
              <w:pStyle w:val="BODYMIAX"/>
              <w:jc w:val="center"/>
              <w:rPr>
                <w:b/>
                <w:bCs/>
                <w:color w:val="FFFFFF" w:themeColor="background1"/>
              </w:rPr>
            </w:pPr>
            <w:r w:rsidRPr="00287307">
              <w:rPr>
                <w:b/>
                <w:bCs/>
                <w:color w:val="FFFFFF" w:themeColor="background1"/>
              </w:rPr>
              <w:t>Disaster Recovery Facility 10 Gigabit ULL Per Connection</w:t>
            </w:r>
          </w:p>
        </w:tc>
        <w:tc>
          <w:tcPr>
            <w:tcW w:w="2084" w:type="dxa"/>
            <w:shd w:val="clear" w:color="auto" w:fill="414041" w:themeFill="text1"/>
            <w:vAlign w:val="bottom"/>
          </w:tcPr>
          <w:p w14:paraId="7C625143" w14:textId="28E65CC2" w:rsidR="00287307" w:rsidRPr="00287307" w:rsidRDefault="00287307" w:rsidP="00287307">
            <w:pPr>
              <w:pStyle w:val="BODYMIAX"/>
              <w:jc w:val="center"/>
              <w:rPr>
                <w:b/>
                <w:bCs/>
                <w:color w:val="FFFFFF" w:themeColor="background1"/>
              </w:rPr>
            </w:pPr>
            <w:r w:rsidRPr="00287307">
              <w:rPr>
                <w:b/>
                <w:bCs/>
                <w:color w:val="FFFFFF" w:themeColor="background1"/>
              </w:rPr>
              <w:t>Primary/ Secondary Facility 10 Gigabit ULL Per Connection</w:t>
            </w:r>
          </w:p>
        </w:tc>
      </w:tr>
      <w:tr w:rsidR="007A63F9" w14:paraId="3A896DA0" w14:textId="77777777" w:rsidTr="007A63F9">
        <w:tc>
          <w:tcPr>
            <w:tcW w:w="2083" w:type="dxa"/>
            <w:vAlign w:val="bottom"/>
          </w:tcPr>
          <w:p w14:paraId="0C9EB9CD" w14:textId="0DD9CDB2" w:rsidR="007A63F9" w:rsidRPr="007A63F9" w:rsidRDefault="007A63F9" w:rsidP="007A63F9">
            <w:pPr>
              <w:pStyle w:val="BODYMIAX"/>
              <w:jc w:val="center"/>
            </w:pPr>
            <w:r w:rsidRPr="007A63F9">
              <w:rPr>
                <w:rFonts w:cstheme="minorHAnsi"/>
              </w:rPr>
              <w:t>Individual Firm</w:t>
            </w:r>
          </w:p>
        </w:tc>
        <w:tc>
          <w:tcPr>
            <w:tcW w:w="2083" w:type="dxa"/>
            <w:vAlign w:val="bottom"/>
          </w:tcPr>
          <w:p w14:paraId="404A9BC7" w14:textId="77B4EA12" w:rsidR="007A63F9" w:rsidRPr="007A63F9" w:rsidRDefault="007A63F9" w:rsidP="007A63F9">
            <w:pPr>
              <w:pStyle w:val="BODYMIAX"/>
              <w:jc w:val="center"/>
            </w:pPr>
            <w:r w:rsidRPr="007A63F9">
              <w:rPr>
                <w:rFonts w:cstheme="minorHAnsi"/>
                <w:bCs/>
              </w:rPr>
              <w:t>$1,000.00</w:t>
            </w:r>
          </w:p>
        </w:tc>
        <w:tc>
          <w:tcPr>
            <w:tcW w:w="2083" w:type="dxa"/>
            <w:vAlign w:val="bottom"/>
          </w:tcPr>
          <w:p w14:paraId="094704E0" w14:textId="7284AE85" w:rsidR="007A63F9" w:rsidRPr="007A63F9" w:rsidRDefault="007A63F9" w:rsidP="007A63F9">
            <w:pPr>
              <w:pStyle w:val="BODYMIAX"/>
              <w:jc w:val="center"/>
            </w:pPr>
            <w:r w:rsidRPr="007A63F9">
              <w:rPr>
                <w:rFonts w:cstheme="minorHAnsi"/>
                <w:bCs/>
              </w:rPr>
              <w:t>$1,000.00</w:t>
            </w:r>
          </w:p>
        </w:tc>
        <w:tc>
          <w:tcPr>
            <w:tcW w:w="2083" w:type="dxa"/>
            <w:vAlign w:val="bottom"/>
          </w:tcPr>
          <w:p w14:paraId="0492C837" w14:textId="6728196D" w:rsidR="007A63F9" w:rsidRPr="007A63F9" w:rsidRDefault="007A63F9" w:rsidP="007A63F9">
            <w:pPr>
              <w:pStyle w:val="BODYMIAX"/>
              <w:jc w:val="center"/>
            </w:pPr>
            <w:r w:rsidRPr="007A63F9">
              <w:rPr>
                <w:rFonts w:cstheme="minorHAnsi"/>
                <w:bCs/>
              </w:rPr>
              <w:t>$3,000.00</w:t>
            </w:r>
          </w:p>
        </w:tc>
        <w:tc>
          <w:tcPr>
            <w:tcW w:w="2084" w:type="dxa"/>
            <w:vAlign w:val="bottom"/>
          </w:tcPr>
          <w:p w14:paraId="0E179A5C" w14:textId="08646735" w:rsidR="007A63F9" w:rsidRPr="007A63F9" w:rsidRDefault="007A63F9" w:rsidP="007A63F9">
            <w:pPr>
              <w:pStyle w:val="BODYMIAX"/>
              <w:jc w:val="center"/>
            </w:pPr>
            <w:r w:rsidRPr="007A63F9">
              <w:rPr>
                <w:rFonts w:cstheme="minorHAnsi"/>
                <w:bCs/>
              </w:rPr>
              <w:t>$3,500.00</w:t>
            </w:r>
          </w:p>
        </w:tc>
      </w:tr>
    </w:tbl>
    <w:p w14:paraId="7E984C22" w14:textId="77777777" w:rsidR="00823852" w:rsidRDefault="00823852" w:rsidP="00287307">
      <w:pPr>
        <w:pStyle w:val="BODYMIAX"/>
      </w:pPr>
    </w:p>
    <w:p w14:paraId="6139F5C7" w14:textId="3C6A4AA4" w:rsidR="007A63F9" w:rsidRPr="007A63F9" w:rsidRDefault="007A63F9" w:rsidP="007A63F9">
      <w:pPr>
        <w:widowControl w:val="0"/>
        <w:ind w:left="360"/>
        <w:jc w:val="both"/>
        <w:rPr>
          <w:rFonts w:cstheme="minorHAnsi"/>
          <w:color w:val="414041" w:themeColor="text1"/>
          <w:sz w:val="22"/>
          <w:szCs w:val="22"/>
        </w:rPr>
      </w:pPr>
      <w:r w:rsidRPr="007A63F9">
        <w:rPr>
          <w:rFonts w:cstheme="minorHAnsi"/>
          <w:color w:val="414041" w:themeColor="text1"/>
          <w:sz w:val="22"/>
          <w:szCs w:val="22"/>
        </w:rPr>
        <w:t xml:space="preserve">Monthly Member Network Connectivity fees for connectivity with the Primary/Secondary Facility will be assessed in any month the Member is credentialed to use any of the MIAX </w:t>
      </w:r>
      <w:r w:rsidR="00D27780">
        <w:rPr>
          <w:rFonts w:cstheme="minorHAnsi"/>
          <w:color w:val="414041" w:themeColor="text1"/>
          <w:sz w:val="22"/>
          <w:szCs w:val="22"/>
        </w:rPr>
        <w:t>Pearl</w:t>
      </w:r>
      <w:r w:rsidRPr="007A63F9">
        <w:rPr>
          <w:rFonts w:cstheme="minorHAnsi"/>
          <w:color w:val="414041" w:themeColor="text1"/>
          <w:sz w:val="22"/>
          <w:szCs w:val="22"/>
        </w:rPr>
        <w:t xml:space="preserve"> Equities APIs or Market Data feeds in the production environment and will be pro-rated when a Member makes a change to the connectivity (by adding or deleting connections) with such pro-rated fees based on the number of trading days that the Member has been credentialed to utilize any of the MIAX </w:t>
      </w:r>
      <w:r w:rsidR="00D27780">
        <w:rPr>
          <w:rFonts w:cstheme="minorHAnsi"/>
          <w:color w:val="414041" w:themeColor="text1"/>
          <w:sz w:val="22"/>
          <w:szCs w:val="22"/>
        </w:rPr>
        <w:t>Pearl</w:t>
      </w:r>
      <w:r w:rsidRPr="007A63F9">
        <w:rPr>
          <w:rFonts w:cstheme="minorHAnsi"/>
          <w:color w:val="414041" w:themeColor="text1"/>
          <w:sz w:val="22"/>
          <w:szCs w:val="22"/>
        </w:rPr>
        <w:t xml:space="preserve"> Equities APIs or Market Data feeds in the production environment through such connection, divided by the total number of trading days in such month multiplied by the applicable monthly rate.  Monthly Member Network Connectivity fees for connectivity with the Disaster Recovery Facility will be assessed in each month during which the Member has established connectivity with the Disaster Recovery Facility.</w:t>
      </w:r>
      <w:r w:rsidR="003564EE" w:rsidRPr="003564EE">
        <w:rPr>
          <w:rFonts w:cstheme="minorHAnsi"/>
          <w:color w:val="414041" w:themeColor="text1"/>
          <w:sz w:val="22"/>
          <w:szCs w:val="22"/>
        </w:rPr>
        <w:t xml:space="preserve"> </w:t>
      </w:r>
      <w:r w:rsidR="00DA151D" w:rsidRPr="00DA151D">
        <w:rPr>
          <w:rFonts w:cstheme="minorHAnsi"/>
          <w:color w:val="414041" w:themeColor="text1"/>
          <w:sz w:val="22"/>
          <w:szCs w:val="22"/>
        </w:rPr>
        <w:t>The Disaster Recovery Facility 1 Gigabit ULL Per Connection fee for Members shall be waived for a single 1 Gigabit ULL connection to the Disaster Recovery Facility where such Member is designated by the Exchange for required testing in accordance with Regulation SCI and pursuant to Chapter III of the Exchange’s Rules and that same single 1 Gigabit ULL connection is used for testing purposes only. This waiver shall apply to each month in which the designated Member is required to maintain that single 1 Gigabit ULL connection to the Disaster Recovery Facility for testing purposes, as described above.</w:t>
      </w:r>
      <w:r w:rsidR="00DA151D" w:rsidRPr="00D574E5">
        <w:rPr>
          <w:rFonts w:ascii="Times New Roman" w:hAnsi="Times New Roman"/>
          <w:color w:val="414041" w:themeColor="text1"/>
          <w:u w:val="single"/>
        </w:rPr>
        <w:t xml:space="preserve">  </w:t>
      </w:r>
    </w:p>
    <w:p w14:paraId="4AF8E7AA" w14:textId="28813600" w:rsidR="00823852" w:rsidRDefault="00823852" w:rsidP="00287307">
      <w:pPr>
        <w:pStyle w:val="BODYMIAX"/>
        <w:ind w:left="720"/>
      </w:pPr>
    </w:p>
    <w:p w14:paraId="5F4758AB" w14:textId="4B1C51CB" w:rsidR="002405C0" w:rsidRDefault="002405C0" w:rsidP="002405C0">
      <w:pPr>
        <w:pStyle w:val="Heading2"/>
      </w:pPr>
      <w:r>
        <w:tab/>
      </w:r>
      <w:bookmarkStart w:id="15" w:name="_Toc110949415"/>
      <w:r>
        <w:t xml:space="preserve">b) </w:t>
      </w:r>
      <w:r w:rsidR="00287307">
        <w:t>Monthly Non-Member Network Connectivity Fee</w:t>
      </w:r>
      <w:r w:rsidR="00480245">
        <w:t>s</w:t>
      </w:r>
      <w:bookmarkEnd w:id="15"/>
    </w:p>
    <w:p w14:paraId="5BD766DB" w14:textId="7191C1DD" w:rsidR="002405C0" w:rsidRDefault="002405C0" w:rsidP="002405C0">
      <w:pPr>
        <w:pStyle w:val="BODYMIAX"/>
        <w:ind w:left="720"/>
      </w:pPr>
    </w:p>
    <w:tbl>
      <w:tblPr>
        <w:tblStyle w:val="TableGrid"/>
        <w:tblW w:w="0" w:type="auto"/>
        <w:tblBorders>
          <w:top w:val="single" w:sz="4" w:space="0" w:color="A6A6A6" w:themeColor="accent2"/>
          <w:left w:val="single" w:sz="4" w:space="0" w:color="A6A6A6" w:themeColor="accent2"/>
          <w:bottom w:val="single" w:sz="4" w:space="0" w:color="A6A6A6" w:themeColor="accent2"/>
          <w:right w:val="single" w:sz="4" w:space="0" w:color="A6A6A6" w:themeColor="accent2"/>
          <w:insideH w:val="single" w:sz="4" w:space="0" w:color="A6A6A6" w:themeColor="accent2"/>
          <w:insideV w:val="single" w:sz="4" w:space="0" w:color="A6A6A6" w:themeColor="accent2"/>
        </w:tblBorders>
        <w:tblLook w:val="04A0" w:firstRow="1" w:lastRow="0" w:firstColumn="1" w:lastColumn="0" w:noHBand="0" w:noVBand="1"/>
      </w:tblPr>
      <w:tblGrid>
        <w:gridCol w:w="2083"/>
        <w:gridCol w:w="2083"/>
        <w:gridCol w:w="2083"/>
        <w:gridCol w:w="2083"/>
        <w:gridCol w:w="2084"/>
      </w:tblGrid>
      <w:tr w:rsidR="00287307" w14:paraId="7BFB07D1" w14:textId="77777777" w:rsidTr="001E7E8D">
        <w:tc>
          <w:tcPr>
            <w:tcW w:w="2083" w:type="dxa"/>
            <w:shd w:val="clear" w:color="auto" w:fill="414041" w:themeFill="text1"/>
            <w:vAlign w:val="bottom"/>
          </w:tcPr>
          <w:p w14:paraId="716AD384" w14:textId="22FC02B7" w:rsidR="00287307" w:rsidRPr="00287307" w:rsidRDefault="00A23AFD" w:rsidP="009748AD">
            <w:pPr>
              <w:pStyle w:val="BODYMIAX"/>
              <w:jc w:val="center"/>
              <w:rPr>
                <w:b/>
                <w:bCs/>
                <w:color w:val="FFFFFF" w:themeColor="background1"/>
              </w:rPr>
            </w:pPr>
            <w:r>
              <w:rPr>
                <w:b/>
                <w:bCs/>
                <w:color w:val="FFFFFF" w:themeColor="background1"/>
              </w:rPr>
              <w:t>Non-</w:t>
            </w:r>
            <w:r w:rsidR="00287307" w:rsidRPr="00287307">
              <w:rPr>
                <w:b/>
                <w:bCs/>
                <w:color w:val="FFFFFF" w:themeColor="background1"/>
              </w:rPr>
              <w:t>Member Network Connectivity Per Month</w:t>
            </w:r>
          </w:p>
        </w:tc>
        <w:tc>
          <w:tcPr>
            <w:tcW w:w="2083" w:type="dxa"/>
            <w:shd w:val="clear" w:color="auto" w:fill="414041" w:themeFill="text1"/>
            <w:vAlign w:val="bottom"/>
          </w:tcPr>
          <w:p w14:paraId="2A416FFB" w14:textId="77777777" w:rsidR="00287307" w:rsidRPr="00287307" w:rsidRDefault="00287307" w:rsidP="009748AD">
            <w:pPr>
              <w:pStyle w:val="BODYMIAX"/>
              <w:jc w:val="center"/>
              <w:rPr>
                <w:b/>
                <w:bCs/>
                <w:color w:val="FFFFFF" w:themeColor="background1"/>
              </w:rPr>
            </w:pPr>
            <w:r w:rsidRPr="00287307">
              <w:rPr>
                <w:b/>
                <w:bCs/>
                <w:color w:val="FFFFFF" w:themeColor="background1"/>
              </w:rPr>
              <w:t>Primary/ Secondary Facility 1 Gigabit ULL Per Connection</w:t>
            </w:r>
          </w:p>
        </w:tc>
        <w:tc>
          <w:tcPr>
            <w:tcW w:w="2083" w:type="dxa"/>
            <w:shd w:val="clear" w:color="auto" w:fill="414041" w:themeFill="text1"/>
            <w:vAlign w:val="bottom"/>
          </w:tcPr>
          <w:p w14:paraId="2B71C1EF" w14:textId="77777777" w:rsidR="00287307" w:rsidRPr="00287307" w:rsidRDefault="00287307" w:rsidP="009748AD">
            <w:pPr>
              <w:pStyle w:val="BODYMIAX"/>
              <w:jc w:val="center"/>
              <w:rPr>
                <w:b/>
                <w:bCs/>
                <w:color w:val="FFFFFF" w:themeColor="background1"/>
              </w:rPr>
            </w:pPr>
            <w:r w:rsidRPr="00287307">
              <w:rPr>
                <w:b/>
                <w:bCs/>
                <w:color w:val="FFFFFF" w:themeColor="background1"/>
              </w:rPr>
              <w:t>Disaster Recovery Facility 1 Gigabit ULL Per Connection</w:t>
            </w:r>
          </w:p>
        </w:tc>
        <w:tc>
          <w:tcPr>
            <w:tcW w:w="2083" w:type="dxa"/>
            <w:shd w:val="clear" w:color="auto" w:fill="414041" w:themeFill="text1"/>
            <w:vAlign w:val="bottom"/>
          </w:tcPr>
          <w:p w14:paraId="4629A7D2" w14:textId="77777777" w:rsidR="00287307" w:rsidRPr="00287307" w:rsidRDefault="00287307" w:rsidP="009748AD">
            <w:pPr>
              <w:pStyle w:val="BODYMIAX"/>
              <w:jc w:val="center"/>
              <w:rPr>
                <w:b/>
                <w:bCs/>
                <w:color w:val="FFFFFF" w:themeColor="background1"/>
              </w:rPr>
            </w:pPr>
            <w:r w:rsidRPr="00287307">
              <w:rPr>
                <w:b/>
                <w:bCs/>
                <w:color w:val="FFFFFF" w:themeColor="background1"/>
              </w:rPr>
              <w:t>Disaster Recovery Facility 10 Gigabit ULL Per Connection</w:t>
            </w:r>
          </w:p>
        </w:tc>
        <w:tc>
          <w:tcPr>
            <w:tcW w:w="2084" w:type="dxa"/>
            <w:shd w:val="clear" w:color="auto" w:fill="414041" w:themeFill="text1"/>
            <w:vAlign w:val="bottom"/>
          </w:tcPr>
          <w:p w14:paraId="4717ED65" w14:textId="77777777" w:rsidR="00287307" w:rsidRPr="00287307" w:rsidRDefault="00287307" w:rsidP="009748AD">
            <w:pPr>
              <w:pStyle w:val="BODYMIAX"/>
              <w:jc w:val="center"/>
              <w:rPr>
                <w:b/>
                <w:bCs/>
                <w:color w:val="FFFFFF" w:themeColor="background1"/>
              </w:rPr>
            </w:pPr>
            <w:r w:rsidRPr="00287307">
              <w:rPr>
                <w:b/>
                <w:bCs/>
                <w:color w:val="FFFFFF" w:themeColor="background1"/>
              </w:rPr>
              <w:t>Primary/ Secondary Facility 10 Gigabit ULL Per Connection</w:t>
            </w:r>
          </w:p>
        </w:tc>
      </w:tr>
      <w:tr w:rsidR="00DB5734" w14:paraId="3FD6F169" w14:textId="77777777" w:rsidTr="00DB5734">
        <w:tc>
          <w:tcPr>
            <w:tcW w:w="2083" w:type="dxa"/>
            <w:vAlign w:val="bottom"/>
          </w:tcPr>
          <w:p w14:paraId="6867CBBE" w14:textId="5C429D27" w:rsidR="00DB5734" w:rsidRPr="00DB5734" w:rsidRDefault="00DB5734" w:rsidP="00DB5734">
            <w:pPr>
              <w:pStyle w:val="BODYMIAX"/>
              <w:jc w:val="center"/>
            </w:pPr>
            <w:r w:rsidRPr="00DB5734">
              <w:rPr>
                <w:rFonts w:cstheme="minorHAnsi"/>
              </w:rPr>
              <w:t>Service Bureau/ Extranet Provider and other non-Members</w:t>
            </w:r>
          </w:p>
        </w:tc>
        <w:tc>
          <w:tcPr>
            <w:tcW w:w="2083" w:type="dxa"/>
            <w:vAlign w:val="bottom"/>
          </w:tcPr>
          <w:p w14:paraId="71002ABC" w14:textId="0293B8D7" w:rsidR="00DB5734" w:rsidRPr="00DB5734" w:rsidRDefault="00DB5734" w:rsidP="00DB5734">
            <w:pPr>
              <w:pStyle w:val="BODYMIAX"/>
              <w:jc w:val="center"/>
            </w:pPr>
            <w:r w:rsidRPr="00DB5734">
              <w:rPr>
                <w:rFonts w:cstheme="minorHAnsi"/>
                <w:bCs/>
              </w:rPr>
              <w:t>$1,000.00</w:t>
            </w:r>
          </w:p>
        </w:tc>
        <w:tc>
          <w:tcPr>
            <w:tcW w:w="2083" w:type="dxa"/>
            <w:vAlign w:val="bottom"/>
          </w:tcPr>
          <w:p w14:paraId="2E747206" w14:textId="7826B125" w:rsidR="00DB5734" w:rsidRPr="00DB5734" w:rsidRDefault="00DB5734" w:rsidP="00DB5734">
            <w:pPr>
              <w:pStyle w:val="BODYMIAX"/>
              <w:jc w:val="center"/>
            </w:pPr>
            <w:r w:rsidRPr="00DB5734">
              <w:rPr>
                <w:rFonts w:cstheme="minorHAnsi"/>
                <w:bCs/>
              </w:rPr>
              <w:t>$1,000.00</w:t>
            </w:r>
          </w:p>
        </w:tc>
        <w:tc>
          <w:tcPr>
            <w:tcW w:w="2083" w:type="dxa"/>
            <w:vAlign w:val="bottom"/>
          </w:tcPr>
          <w:p w14:paraId="4447103E" w14:textId="7F66DC9D" w:rsidR="00DB5734" w:rsidRPr="00DB5734" w:rsidRDefault="00DB5734" w:rsidP="00DB5734">
            <w:pPr>
              <w:pStyle w:val="BODYMIAX"/>
              <w:jc w:val="center"/>
            </w:pPr>
            <w:r w:rsidRPr="00DB5734">
              <w:rPr>
                <w:rFonts w:cstheme="minorHAnsi"/>
                <w:bCs/>
              </w:rPr>
              <w:t>$3,000.00</w:t>
            </w:r>
          </w:p>
        </w:tc>
        <w:tc>
          <w:tcPr>
            <w:tcW w:w="2084" w:type="dxa"/>
            <w:vAlign w:val="bottom"/>
          </w:tcPr>
          <w:p w14:paraId="7546FFF9" w14:textId="282A73D7" w:rsidR="00DB5734" w:rsidRPr="00DB5734" w:rsidRDefault="00DB5734" w:rsidP="00DB5734">
            <w:pPr>
              <w:pStyle w:val="BODYMIAX"/>
              <w:jc w:val="center"/>
            </w:pPr>
            <w:r w:rsidRPr="00DB5734">
              <w:rPr>
                <w:rFonts w:cstheme="minorHAnsi"/>
                <w:bCs/>
              </w:rPr>
              <w:t>$3,500.00</w:t>
            </w:r>
          </w:p>
        </w:tc>
      </w:tr>
    </w:tbl>
    <w:p w14:paraId="7FC7211C" w14:textId="53773AA8" w:rsidR="002405C0" w:rsidRPr="00DB5734" w:rsidRDefault="002405C0" w:rsidP="002405C0">
      <w:pPr>
        <w:pStyle w:val="BODYMIAX"/>
        <w:rPr>
          <w:sz w:val="22"/>
          <w:szCs w:val="22"/>
        </w:rPr>
      </w:pPr>
    </w:p>
    <w:p w14:paraId="31B44748" w14:textId="35795706" w:rsidR="00A8125E" w:rsidRPr="00002977" w:rsidRDefault="00DB5734" w:rsidP="00A8125E">
      <w:pPr>
        <w:widowControl w:val="0"/>
        <w:ind w:left="360"/>
        <w:jc w:val="both"/>
        <w:rPr>
          <w:rFonts w:ascii="Times New Roman" w:hAnsi="Times New Roman"/>
          <w:color w:val="414041" w:themeColor="text1"/>
          <w:u w:val="single"/>
        </w:rPr>
      </w:pPr>
      <w:r w:rsidRPr="00DB5734">
        <w:rPr>
          <w:rFonts w:cstheme="minorHAnsi"/>
          <w:color w:val="414041" w:themeColor="text1"/>
          <w:sz w:val="22"/>
          <w:szCs w:val="22"/>
        </w:rPr>
        <w:t xml:space="preserve">Monthly Non-Member Network Connectivity fees for connectivity with the Primary/Secondary Facility will be assessed in each month the Non-Member has been credentialed to use any of the MIAX </w:t>
      </w:r>
      <w:r w:rsidR="00D27780">
        <w:rPr>
          <w:rFonts w:cstheme="minorHAnsi"/>
          <w:color w:val="414041" w:themeColor="text1"/>
          <w:sz w:val="22"/>
          <w:szCs w:val="22"/>
        </w:rPr>
        <w:t>Pearl</w:t>
      </w:r>
      <w:r w:rsidRPr="00DB5734">
        <w:rPr>
          <w:rFonts w:cstheme="minorHAnsi"/>
          <w:color w:val="414041" w:themeColor="text1"/>
          <w:sz w:val="22"/>
          <w:szCs w:val="22"/>
        </w:rPr>
        <w:t xml:space="preserve"> Equities APIs or Market Data feeds via the network connection in the production environment and will be pro-rated when a Non-Member makes a change to the connectivity (by adding or deleting connections) with such pro-rated fees based on the number of trading days that the Non-Member has been credentialed to utilize any one of the two MIAX Exchanges’ APIs or Market Data feeds in the production environment through such connection, divided by the total number of trading days in such month multiplied by the applicable monthly rate.  Monthly Non-Member Network Connectivity fees for connectivity with the Disaster Recovery Facility will be assessed in each month during which the Non-Member has established connectivity with the Disaster Recovery Facility</w:t>
      </w:r>
      <w:r w:rsidR="00A8125E" w:rsidRPr="00D574E5">
        <w:rPr>
          <w:rFonts w:ascii="Times New Roman" w:hAnsi="Times New Roman"/>
          <w:color w:val="414041" w:themeColor="text1"/>
          <w:u w:val="single"/>
        </w:rPr>
        <w:t xml:space="preserve"> </w:t>
      </w:r>
    </w:p>
    <w:p w14:paraId="592A9697" w14:textId="72351D86" w:rsidR="002405C0" w:rsidRDefault="002405C0" w:rsidP="00DB5734">
      <w:pPr>
        <w:pStyle w:val="Heading2"/>
        <w:ind w:left="360"/>
      </w:pPr>
      <w:bookmarkStart w:id="16" w:name="_Toc110949416"/>
      <w:r>
        <w:lastRenderedPageBreak/>
        <w:t xml:space="preserve">c) </w:t>
      </w:r>
      <w:r w:rsidR="00287307">
        <w:t>Pass-Through of External Connectivity Fees</w:t>
      </w:r>
      <w:bookmarkEnd w:id="16"/>
    </w:p>
    <w:p w14:paraId="51E01099" w14:textId="1BE98D15" w:rsidR="002405C0" w:rsidRDefault="002405C0" w:rsidP="002405C0">
      <w:pPr>
        <w:pStyle w:val="BODYMIAX"/>
        <w:ind w:left="720"/>
      </w:pPr>
    </w:p>
    <w:p w14:paraId="3D9FAC3D" w14:textId="3FF79882" w:rsidR="00DB5734" w:rsidRPr="00DB5734" w:rsidRDefault="00DB5734" w:rsidP="00DB5734">
      <w:pPr>
        <w:widowControl w:val="0"/>
        <w:ind w:left="360"/>
        <w:jc w:val="both"/>
        <w:rPr>
          <w:rFonts w:cstheme="minorHAnsi"/>
          <w:color w:val="414041" w:themeColor="text1"/>
          <w:sz w:val="22"/>
          <w:szCs w:val="22"/>
        </w:rPr>
      </w:pPr>
      <w:r w:rsidRPr="00DB5734">
        <w:rPr>
          <w:rFonts w:cstheme="minorHAnsi"/>
          <w:color w:val="414041" w:themeColor="text1"/>
          <w:sz w:val="22"/>
          <w:szCs w:val="22"/>
        </w:rPr>
        <w:t xml:space="preserve">MIAX </w:t>
      </w:r>
      <w:r w:rsidR="00D27780">
        <w:rPr>
          <w:rFonts w:cstheme="minorHAnsi"/>
          <w:color w:val="414041" w:themeColor="text1"/>
          <w:sz w:val="22"/>
          <w:szCs w:val="22"/>
        </w:rPr>
        <w:t>Pearl</w:t>
      </w:r>
      <w:r w:rsidRPr="00DB5734">
        <w:rPr>
          <w:rFonts w:cstheme="minorHAnsi"/>
          <w:color w:val="414041" w:themeColor="text1"/>
          <w:sz w:val="22"/>
          <w:szCs w:val="22"/>
        </w:rPr>
        <w:t xml:space="preserve"> Equities will assess External Connectivity Fees to Members and non-Members that establish connections with MIAX </w:t>
      </w:r>
      <w:r w:rsidR="00D27780">
        <w:rPr>
          <w:rFonts w:cstheme="minorHAnsi"/>
          <w:color w:val="414041" w:themeColor="text1"/>
          <w:sz w:val="22"/>
          <w:szCs w:val="22"/>
        </w:rPr>
        <w:t>Pearl</w:t>
      </w:r>
      <w:r w:rsidRPr="00DB5734">
        <w:rPr>
          <w:rFonts w:cstheme="minorHAnsi"/>
          <w:color w:val="414041" w:themeColor="text1"/>
          <w:sz w:val="22"/>
          <w:szCs w:val="22"/>
        </w:rPr>
        <w:t xml:space="preserve"> Equities through a third-party.  Fees assessed to MIAX </w:t>
      </w:r>
      <w:r w:rsidR="00D27780">
        <w:rPr>
          <w:rFonts w:cstheme="minorHAnsi"/>
          <w:color w:val="414041" w:themeColor="text1"/>
          <w:sz w:val="22"/>
          <w:szCs w:val="22"/>
        </w:rPr>
        <w:t>Pearl</w:t>
      </w:r>
      <w:r w:rsidRPr="00DB5734">
        <w:rPr>
          <w:rFonts w:cstheme="minorHAnsi"/>
          <w:color w:val="414041" w:themeColor="text1"/>
          <w:sz w:val="22"/>
          <w:szCs w:val="22"/>
        </w:rPr>
        <w:t xml:space="preserve"> Equities by third-party external vendors on behalf of a Member or non-Member connecting to MIAX </w:t>
      </w:r>
      <w:r w:rsidR="00D27780">
        <w:rPr>
          <w:rFonts w:cstheme="minorHAnsi"/>
          <w:color w:val="414041" w:themeColor="text1"/>
          <w:sz w:val="22"/>
          <w:szCs w:val="22"/>
        </w:rPr>
        <w:t>Pearl</w:t>
      </w:r>
      <w:r w:rsidRPr="00DB5734">
        <w:rPr>
          <w:rFonts w:cstheme="minorHAnsi"/>
          <w:color w:val="414041" w:themeColor="text1"/>
          <w:sz w:val="22"/>
          <w:szCs w:val="22"/>
        </w:rPr>
        <w:t xml:space="preserve"> Equities (including cross-connects), will be passed through to the Member or non-Member.  The External Connectivity Fees passed through can include one-time set-up fees, monthly charges, and other fees charged to MIAX </w:t>
      </w:r>
      <w:r w:rsidR="00D27780">
        <w:rPr>
          <w:rFonts w:cstheme="minorHAnsi"/>
          <w:color w:val="414041" w:themeColor="text1"/>
          <w:sz w:val="22"/>
          <w:szCs w:val="22"/>
        </w:rPr>
        <w:t>Pearl</w:t>
      </w:r>
      <w:r w:rsidRPr="00DB5734">
        <w:rPr>
          <w:rFonts w:cstheme="minorHAnsi"/>
          <w:color w:val="414041" w:themeColor="text1"/>
          <w:sz w:val="22"/>
          <w:szCs w:val="22"/>
        </w:rPr>
        <w:t xml:space="preserve"> Equities by a third-party for the benefit of a Member or non-Member.</w:t>
      </w:r>
    </w:p>
    <w:p w14:paraId="69D62DC0" w14:textId="28307B6E" w:rsidR="002405C0" w:rsidRDefault="002405C0" w:rsidP="002405C0">
      <w:pPr>
        <w:pStyle w:val="BODYMIAX"/>
        <w:ind w:left="720"/>
      </w:pPr>
    </w:p>
    <w:p w14:paraId="47FB8A52" w14:textId="51BAC3EC" w:rsidR="002405C0" w:rsidRDefault="00287307" w:rsidP="00264E8C">
      <w:pPr>
        <w:pStyle w:val="Heading2"/>
        <w:ind w:left="360"/>
      </w:pPr>
      <w:bookmarkStart w:id="17" w:name="_Toc110949417"/>
      <w:r>
        <w:t>d) Port Fees</w:t>
      </w:r>
      <w:bookmarkEnd w:id="17"/>
    </w:p>
    <w:p w14:paraId="5D306ACA" w14:textId="699D500A" w:rsidR="002405C0" w:rsidRDefault="002405C0" w:rsidP="002405C0">
      <w:pPr>
        <w:pStyle w:val="BODYMIAX"/>
        <w:ind w:left="720"/>
      </w:pPr>
    </w:p>
    <w:p w14:paraId="4CD79046" w14:textId="0FFF1797" w:rsidR="00DB5734" w:rsidRPr="00DB5734" w:rsidRDefault="00DB5734" w:rsidP="00DB5734">
      <w:pPr>
        <w:widowControl w:val="0"/>
        <w:ind w:left="360"/>
        <w:jc w:val="both"/>
        <w:rPr>
          <w:rFonts w:cstheme="minorHAnsi"/>
          <w:color w:val="414041" w:themeColor="text1"/>
          <w:sz w:val="22"/>
          <w:szCs w:val="22"/>
        </w:rPr>
      </w:pPr>
      <w:r w:rsidRPr="00DB5734">
        <w:rPr>
          <w:rFonts w:cstheme="minorHAnsi"/>
          <w:color w:val="414041" w:themeColor="text1"/>
          <w:sz w:val="22"/>
          <w:szCs w:val="22"/>
        </w:rPr>
        <w:t xml:space="preserve">MIAX </w:t>
      </w:r>
      <w:r w:rsidR="00D27780">
        <w:rPr>
          <w:rFonts w:cstheme="minorHAnsi"/>
          <w:color w:val="414041" w:themeColor="text1"/>
          <w:sz w:val="22"/>
          <w:szCs w:val="22"/>
        </w:rPr>
        <w:t>Pearl</w:t>
      </w:r>
      <w:r w:rsidRPr="00DB5734">
        <w:rPr>
          <w:rFonts w:cstheme="minorHAnsi"/>
          <w:color w:val="414041" w:themeColor="text1"/>
          <w:sz w:val="22"/>
          <w:szCs w:val="22"/>
        </w:rPr>
        <w:t xml:space="preserve"> Equities will assess monthly Port Fees on Members in each month the Member is credentialed to use a Port in the production environment.  The Port Fees assessable for FIX Ports, MEO Ports, and FXD Ports are as set forth in the table below.  MIAX </w:t>
      </w:r>
      <w:r w:rsidR="00D27780">
        <w:rPr>
          <w:rFonts w:cstheme="minorHAnsi"/>
          <w:color w:val="414041" w:themeColor="text1"/>
          <w:sz w:val="22"/>
          <w:szCs w:val="22"/>
        </w:rPr>
        <w:t>Pearl</w:t>
      </w:r>
      <w:r w:rsidRPr="00DB5734">
        <w:rPr>
          <w:rFonts w:cstheme="minorHAnsi"/>
          <w:color w:val="414041" w:themeColor="text1"/>
          <w:sz w:val="22"/>
          <w:szCs w:val="22"/>
        </w:rPr>
        <w:t xml:space="preserve"> Equities has primary and secondary data centers and a disaster recovery center.  Each Port provides access to all three data centers for a single fee. Unless otherwise specifically set forth in the Fee Schedule, the Port Fees include the information communicated through the Port at no additional charge. </w:t>
      </w:r>
    </w:p>
    <w:p w14:paraId="2A91570C" w14:textId="2E92A11A" w:rsidR="00287307" w:rsidRDefault="00287307" w:rsidP="00DB5734">
      <w:pPr>
        <w:pStyle w:val="BODYMIAX"/>
      </w:pPr>
    </w:p>
    <w:tbl>
      <w:tblPr>
        <w:tblStyle w:val="TableGrid"/>
        <w:tblW w:w="0" w:type="auto"/>
        <w:tblBorders>
          <w:top w:val="single" w:sz="4" w:space="0" w:color="A6A6A6" w:themeColor="accent2"/>
          <w:left w:val="single" w:sz="4" w:space="0" w:color="A6A6A6" w:themeColor="accent2"/>
          <w:bottom w:val="single" w:sz="4" w:space="0" w:color="A6A6A6" w:themeColor="accent2"/>
          <w:right w:val="single" w:sz="4" w:space="0" w:color="A6A6A6" w:themeColor="accent2"/>
          <w:insideH w:val="single" w:sz="4" w:space="0" w:color="A6A6A6" w:themeColor="accent2"/>
          <w:insideV w:val="single" w:sz="4" w:space="0" w:color="A6A6A6" w:themeColor="accent2"/>
        </w:tblBorders>
        <w:tblLook w:val="04A0" w:firstRow="1" w:lastRow="0" w:firstColumn="1" w:lastColumn="0" w:noHBand="0" w:noVBand="1"/>
      </w:tblPr>
      <w:tblGrid>
        <w:gridCol w:w="2605"/>
        <w:gridCol w:w="7811"/>
      </w:tblGrid>
      <w:tr w:rsidR="001E7E8D" w14:paraId="63594959" w14:textId="77777777" w:rsidTr="00DB5734">
        <w:tc>
          <w:tcPr>
            <w:tcW w:w="2605" w:type="dxa"/>
            <w:shd w:val="clear" w:color="auto" w:fill="414041" w:themeFill="text1"/>
            <w:vAlign w:val="bottom"/>
          </w:tcPr>
          <w:p w14:paraId="03B76076" w14:textId="7DABE414" w:rsidR="001E7E8D" w:rsidRPr="001E7E8D" w:rsidRDefault="001E7E8D" w:rsidP="001E7E8D">
            <w:pPr>
              <w:pStyle w:val="BODYMIAX"/>
              <w:jc w:val="center"/>
              <w:rPr>
                <w:b/>
                <w:bCs/>
                <w:color w:val="FFFFFF" w:themeColor="background1"/>
              </w:rPr>
            </w:pPr>
            <w:r w:rsidRPr="001E7E8D">
              <w:rPr>
                <w:b/>
                <w:bCs/>
                <w:color w:val="FFFFFF" w:themeColor="background1"/>
              </w:rPr>
              <w:t>Type of Port</w:t>
            </w:r>
          </w:p>
        </w:tc>
        <w:tc>
          <w:tcPr>
            <w:tcW w:w="7811" w:type="dxa"/>
            <w:shd w:val="clear" w:color="auto" w:fill="414041" w:themeFill="text1"/>
            <w:vAlign w:val="bottom"/>
          </w:tcPr>
          <w:p w14:paraId="638D4CA8" w14:textId="77777777" w:rsidR="001E7E8D" w:rsidRPr="001E7E8D" w:rsidRDefault="001E7E8D" w:rsidP="00DB5734">
            <w:pPr>
              <w:pStyle w:val="BODYMIAX"/>
              <w:jc w:val="center"/>
              <w:rPr>
                <w:b/>
                <w:bCs/>
                <w:color w:val="FFFFFF" w:themeColor="background1"/>
              </w:rPr>
            </w:pPr>
            <w:r w:rsidRPr="001E7E8D">
              <w:rPr>
                <w:b/>
                <w:bCs/>
                <w:color w:val="FFFFFF" w:themeColor="background1"/>
              </w:rPr>
              <w:t>Monthly Port Fees</w:t>
            </w:r>
          </w:p>
          <w:p w14:paraId="2CFC3A67" w14:textId="68EADFD5" w:rsidR="001E7E8D" w:rsidRPr="001E7E8D" w:rsidRDefault="001E7E8D" w:rsidP="00DB5734">
            <w:pPr>
              <w:pStyle w:val="BODYMIAX"/>
              <w:jc w:val="center"/>
              <w:rPr>
                <w:b/>
                <w:bCs/>
                <w:color w:val="FFFFFF" w:themeColor="background1"/>
              </w:rPr>
            </w:pPr>
            <w:r w:rsidRPr="001E7E8D">
              <w:rPr>
                <w:b/>
                <w:bCs/>
                <w:color w:val="FFFFFF" w:themeColor="background1"/>
              </w:rPr>
              <w:t>Includes Connectivity to the Primary, Secondary and Disaster Recovery Data Centers</w:t>
            </w:r>
          </w:p>
        </w:tc>
      </w:tr>
      <w:tr w:rsidR="00DB5734" w14:paraId="515EB394" w14:textId="77777777" w:rsidTr="00DB5734">
        <w:tc>
          <w:tcPr>
            <w:tcW w:w="2605" w:type="dxa"/>
            <w:vAlign w:val="bottom"/>
          </w:tcPr>
          <w:p w14:paraId="735FC38E" w14:textId="3AF36782" w:rsidR="00DB5734" w:rsidRPr="00DB5734" w:rsidRDefault="00DB5734" w:rsidP="00DB5734">
            <w:pPr>
              <w:pStyle w:val="BODYMIAX"/>
              <w:jc w:val="center"/>
            </w:pPr>
            <w:r w:rsidRPr="00DB5734">
              <w:rPr>
                <w:rFonts w:cstheme="minorHAnsi"/>
              </w:rPr>
              <w:t>FIX Port^</w:t>
            </w:r>
          </w:p>
        </w:tc>
        <w:tc>
          <w:tcPr>
            <w:tcW w:w="7811" w:type="dxa"/>
            <w:vAlign w:val="bottom"/>
          </w:tcPr>
          <w:p w14:paraId="26D6BD38"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Per Port:</w:t>
            </w:r>
          </w:p>
          <w:p w14:paraId="1725E2C4"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1</w:t>
            </w:r>
            <w:r w:rsidRPr="00DB5734">
              <w:rPr>
                <w:rFonts w:cstheme="minorHAnsi"/>
                <w:color w:val="414041" w:themeColor="text1"/>
                <w:sz w:val="20"/>
                <w:szCs w:val="20"/>
                <w:vertAlign w:val="superscript"/>
              </w:rPr>
              <w:t>st</w:t>
            </w:r>
            <w:r w:rsidRPr="00DB5734">
              <w:rPr>
                <w:rFonts w:cstheme="minorHAnsi"/>
                <w:color w:val="414041" w:themeColor="text1"/>
                <w:sz w:val="20"/>
                <w:szCs w:val="20"/>
              </w:rPr>
              <w:t xml:space="preserve"> – 5</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Fee Waived for the Waiver Period</w:t>
            </w:r>
          </w:p>
          <w:p w14:paraId="23792F61"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6</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 10</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Fee Waived for the Waiver Period</w:t>
            </w:r>
          </w:p>
          <w:p w14:paraId="7B1B5C39"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11</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 25</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Fee Waived for the Waiver Period</w:t>
            </w:r>
          </w:p>
          <w:p w14:paraId="63ADFB8E"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26</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 50</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$450</w:t>
            </w:r>
          </w:p>
          <w:p w14:paraId="24985260"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51</w:t>
            </w:r>
            <w:r w:rsidRPr="00DB5734">
              <w:rPr>
                <w:rFonts w:cstheme="minorHAnsi"/>
                <w:color w:val="414041" w:themeColor="text1"/>
                <w:sz w:val="20"/>
                <w:szCs w:val="20"/>
                <w:vertAlign w:val="superscript"/>
              </w:rPr>
              <w:t>st</w:t>
            </w:r>
            <w:r w:rsidRPr="00DB5734">
              <w:rPr>
                <w:rFonts w:cstheme="minorHAnsi"/>
                <w:color w:val="414041" w:themeColor="text1"/>
                <w:sz w:val="20"/>
                <w:szCs w:val="20"/>
              </w:rPr>
              <w:t xml:space="preserve"> – 75</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$400</w:t>
            </w:r>
          </w:p>
          <w:p w14:paraId="029CF3E9"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76</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 100</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$350</w:t>
            </w:r>
          </w:p>
          <w:p w14:paraId="3BDE11D4" w14:textId="5A45EC9D" w:rsidR="00DB5734" w:rsidRPr="00DB5734" w:rsidRDefault="00DB5734" w:rsidP="00DB5734">
            <w:pPr>
              <w:pStyle w:val="BODYMIAX"/>
              <w:jc w:val="center"/>
            </w:pPr>
            <w:r w:rsidRPr="00DB5734">
              <w:rPr>
                <w:rFonts w:cstheme="minorHAnsi"/>
              </w:rPr>
              <w:t>101</w:t>
            </w:r>
            <w:r w:rsidRPr="00DB5734">
              <w:rPr>
                <w:rFonts w:cstheme="minorHAnsi"/>
                <w:vertAlign w:val="superscript"/>
              </w:rPr>
              <w:t>st</w:t>
            </w:r>
            <w:r w:rsidRPr="00DB5734">
              <w:rPr>
                <w:rFonts w:cstheme="minorHAnsi"/>
              </w:rPr>
              <w:t xml:space="preserve"> or more $300</w:t>
            </w:r>
          </w:p>
        </w:tc>
      </w:tr>
      <w:tr w:rsidR="00DB5734" w14:paraId="1935CD2F" w14:textId="77777777" w:rsidTr="00DB5734">
        <w:tc>
          <w:tcPr>
            <w:tcW w:w="2605" w:type="dxa"/>
            <w:shd w:val="clear" w:color="auto" w:fill="F1F2F0" w:themeFill="text2"/>
            <w:vAlign w:val="bottom"/>
          </w:tcPr>
          <w:p w14:paraId="391C0C22" w14:textId="47931B01" w:rsidR="00DB5734" w:rsidRPr="00DB5734" w:rsidRDefault="00DB5734" w:rsidP="00DB5734">
            <w:pPr>
              <w:pStyle w:val="BODYMIAX"/>
              <w:jc w:val="center"/>
            </w:pPr>
            <w:r w:rsidRPr="00DB5734">
              <w:rPr>
                <w:rFonts w:cstheme="minorHAnsi"/>
              </w:rPr>
              <w:t>MEO Port^*</w:t>
            </w:r>
          </w:p>
        </w:tc>
        <w:tc>
          <w:tcPr>
            <w:tcW w:w="7811" w:type="dxa"/>
            <w:shd w:val="clear" w:color="auto" w:fill="F1F2F0" w:themeFill="text2"/>
            <w:vAlign w:val="bottom"/>
          </w:tcPr>
          <w:p w14:paraId="717FC948"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Per Port:</w:t>
            </w:r>
          </w:p>
          <w:p w14:paraId="4E59B9C7"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1</w:t>
            </w:r>
            <w:r w:rsidRPr="00DB5734">
              <w:rPr>
                <w:rFonts w:cstheme="minorHAnsi"/>
                <w:color w:val="414041" w:themeColor="text1"/>
                <w:sz w:val="20"/>
                <w:szCs w:val="20"/>
                <w:vertAlign w:val="superscript"/>
              </w:rPr>
              <w:t>st</w:t>
            </w:r>
            <w:r w:rsidRPr="00DB5734">
              <w:rPr>
                <w:rFonts w:cstheme="minorHAnsi"/>
                <w:color w:val="414041" w:themeColor="text1"/>
                <w:sz w:val="20"/>
                <w:szCs w:val="20"/>
              </w:rPr>
              <w:t xml:space="preserve"> – 5</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Fee Waived for the Waiver Period</w:t>
            </w:r>
          </w:p>
          <w:p w14:paraId="6338F36A"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6</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 10</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Fee Waived for the Waiver Period</w:t>
            </w:r>
          </w:p>
          <w:p w14:paraId="1ADF0778"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11</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 25</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Fee Waived for the Waiver Period</w:t>
            </w:r>
          </w:p>
          <w:p w14:paraId="792E57E3"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26</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 50</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$450</w:t>
            </w:r>
          </w:p>
          <w:p w14:paraId="01EEA2BE"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51</w:t>
            </w:r>
            <w:r w:rsidRPr="00DB5734">
              <w:rPr>
                <w:rFonts w:cstheme="minorHAnsi"/>
                <w:color w:val="414041" w:themeColor="text1"/>
                <w:sz w:val="20"/>
                <w:szCs w:val="20"/>
                <w:vertAlign w:val="superscript"/>
              </w:rPr>
              <w:t>st</w:t>
            </w:r>
            <w:r w:rsidRPr="00DB5734">
              <w:rPr>
                <w:rFonts w:cstheme="minorHAnsi"/>
                <w:color w:val="414041" w:themeColor="text1"/>
                <w:sz w:val="20"/>
                <w:szCs w:val="20"/>
              </w:rPr>
              <w:t xml:space="preserve"> – 75</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$400</w:t>
            </w:r>
          </w:p>
          <w:p w14:paraId="3AE60F7E" w14:textId="77777777" w:rsidR="00DB5734" w:rsidRPr="00DB5734" w:rsidRDefault="00DB5734" w:rsidP="00DB5734">
            <w:pPr>
              <w:widowControl w:val="0"/>
              <w:jc w:val="center"/>
              <w:rPr>
                <w:rFonts w:cstheme="minorHAnsi"/>
                <w:color w:val="414041" w:themeColor="text1"/>
                <w:sz w:val="20"/>
                <w:szCs w:val="20"/>
              </w:rPr>
            </w:pPr>
            <w:r w:rsidRPr="00DB5734">
              <w:rPr>
                <w:rFonts w:cstheme="minorHAnsi"/>
                <w:color w:val="414041" w:themeColor="text1"/>
                <w:sz w:val="20"/>
                <w:szCs w:val="20"/>
              </w:rPr>
              <w:t>76</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 100</w:t>
            </w:r>
            <w:r w:rsidRPr="00DB5734">
              <w:rPr>
                <w:rFonts w:cstheme="minorHAnsi"/>
                <w:color w:val="414041" w:themeColor="text1"/>
                <w:sz w:val="20"/>
                <w:szCs w:val="20"/>
                <w:vertAlign w:val="superscript"/>
              </w:rPr>
              <w:t>th</w:t>
            </w:r>
            <w:r w:rsidRPr="00DB5734">
              <w:rPr>
                <w:rFonts w:cstheme="minorHAnsi"/>
                <w:color w:val="414041" w:themeColor="text1"/>
                <w:sz w:val="20"/>
                <w:szCs w:val="20"/>
              </w:rPr>
              <w:t xml:space="preserve"> $350</w:t>
            </w:r>
          </w:p>
          <w:p w14:paraId="040A4641" w14:textId="26ED1EA8" w:rsidR="00DB5734" w:rsidRPr="00DB5734" w:rsidRDefault="00DB5734" w:rsidP="00DB5734">
            <w:pPr>
              <w:pStyle w:val="BODYMIAX"/>
              <w:jc w:val="center"/>
            </w:pPr>
            <w:r w:rsidRPr="00DB5734">
              <w:rPr>
                <w:rFonts w:cstheme="minorHAnsi"/>
              </w:rPr>
              <w:t>101</w:t>
            </w:r>
            <w:r w:rsidRPr="00DB5734">
              <w:rPr>
                <w:rFonts w:cstheme="minorHAnsi"/>
                <w:vertAlign w:val="superscript"/>
              </w:rPr>
              <w:t>st</w:t>
            </w:r>
            <w:r w:rsidRPr="00DB5734">
              <w:rPr>
                <w:rFonts w:cstheme="minorHAnsi"/>
              </w:rPr>
              <w:t xml:space="preserve"> or more $300</w:t>
            </w:r>
          </w:p>
        </w:tc>
      </w:tr>
      <w:tr w:rsidR="00DB5734" w14:paraId="4A3AAE96" w14:textId="77777777" w:rsidTr="00DB5734">
        <w:tc>
          <w:tcPr>
            <w:tcW w:w="2605" w:type="dxa"/>
            <w:vAlign w:val="bottom"/>
          </w:tcPr>
          <w:p w14:paraId="400D45F0" w14:textId="71BDE141" w:rsidR="00DB5734" w:rsidRPr="00DB5734" w:rsidRDefault="00DB5734" w:rsidP="00DB5734">
            <w:pPr>
              <w:pStyle w:val="BODYMIAX"/>
              <w:jc w:val="center"/>
            </w:pPr>
            <w:r w:rsidRPr="00DB5734">
              <w:rPr>
                <w:rFonts w:cstheme="minorHAnsi"/>
              </w:rPr>
              <w:t>FXD Port^</w:t>
            </w:r>
          </w:p>
        </w:tc>
        <w:tc>
          <w:tcPr>
            <w:tcW w:w="7811" w:type="dxa"/>
            <w:vAlign w:val="bottom"/>
          </w:tcPr>
          <w:p w14:paraId="5840D510" w14:textId="1C776CBB" w:rsidR="00DB5734" w:rsidRPr="00DB5734" w:rsidRDefault="00DB5734" w:rsidP="00DB5734">
            <w:pPr>
              <w:pStyle w:val="BODYMIAX"/>
              <w:jc w:val="center"/>
            </w:pPr>
            <w:r w:rsidRPr="00DB5734">
              <w:rPr>
                <w:rFonts w:cstheme="minorHAnsi"/>
                <w:bCs/>
              </w:rPr>
              <w:t>Fee Waived for the Waiver Period</w:t>
            </w:r>
          </w:p>
        </w:tc>
      </w:tr>
    </w:tbl>
    <w:p w14:paraId="3B3B578A" w14:textId="2FE21949" w:rsidR="00287307" w:rsidRDefault="00287307" w:rsidP="001E7E8D">
      <w:pPr>
        <w:pStyle w:val="BODYMIAX"/>
      </w:pPr>
    </w:p>
    <w:p w14:paraId="322407BD" w14:textId="77777777" w:rsidR="00B37BD4" w:rsidRPr="00B37BD4" w:rsidRDefault="00B37BD4" w:rsidP="00B37BD4">
      <w:pPr>
        <w:widowControl w:val="0"/>
        <w:tabs>
          <w:tab w:val="left" w:pos="720"/>
        </w:tabs>
        <w:ind w:left="1440" w:hanging="1080"/>
        <w:jc w:val="both"/>
        <w:rPr>
          <w:rFonts w:cstheme="minorHAnsi"/>
          <w:color w:val="414041" w:themeColor="text1"/>
          <w:sz w:val="20"/>
          <w:szCs w:val="20"/>
        </w:rPr>
      </w:pPr>
      <w:r w:rsidRPr="00B37BD4">
        <w:rPr>
          <w:rFonts w:cstheme="minorHAnsi"/>
          <w:color w:val="414041" w:themeColor="text1"/>
          <w:sz w:val="20"/>
          <w:szCs w:val="20"/>
        </w:rPr>
        <w:t>^</w:t>
      </w:r>
      <w:r w:rsidRPr="00B37BD4">
        <w:rPr>
          <w:rFonts w:cstheme="minorHAnsi"/>
          <w:color w:val="414041" w:themeColor="text1"/>
          <w:sz w:val="20"/>
          <w:szCs w:val="20"/>
        </w:rPr>
        <w:tab/>
        <w:t>Each port will have access to all Matching Engines.</w:t>
      </w:r>
    </w:p>
    <w:p w14:paraId="2B49B4BA" w14:textId="6AE435C9" w:rsidR="00B37BD4" w:rsidRPr="00B37BD4" w:rsidRDefault="00B37BD4" w:rsidP="00B37BD4">
      <w:pPr>
        <w:widowControl w:val="0"/>
        <w:tabs>
          <w:tab w:val="left" w:pos="720"/>
        </w:tabs>
        <w:ind w:left="720" w:hanging="360"/>
        <w:jc w:val="both"/>
        <w:rPr>
          <w:rFonts w:cstheme="minorHAnsi"/>
          <w:color w:val="414041" w:themeColor="text1"/>
          <w:sz w:val="20"/>
          <w:szCs w:val="20"/>
        </w:rPr>
      </w:pPr>
      <w:r w:rsidRPr="00B37BD4">
        <w:rPr>
          <w:rFonts w:cstheme="minorHAnsi"/>
          <w:color w:val="414041" w:themeColor="text1"/>
          <w:sz w:val="20"/>
          <w:szCs w:val="20"/>
        </w:rPr>
        <w:t xml:space="preserve">* </w:t>
      </w:r>
      <w:r w:rsidRPr="00B37BD4">
        <w:rPr>
          <w:rFonts w:cstheme="minorHAnsi"/>
          <w:color w:val="414041" w:themeColor="text1"/>
          <w:sz w:val="20"/>
          <w:szCs w:val="20"/>
        </w:rPr>
        <w:tab/>
        <w:t>The rates set forth above for MEO Ports entitle an Equity Member to one (1) FSP and one (1) Purge</w:t>
      </w:r>
      <w:r>
        <w:rPr>
          <w:rFonts w:cstheme="minorHAnsi"/>
          <w:color w:val="414041" w:themeColor="text1"/>
          <w:sz w:val="20"/>
          <w:szCs w:val="20"/>
        </w:rPr>
        <w:t xml:space="preserve"> Port for </w:t>
      </w:r>
      <w:r w:rsidRPr="00B37BD4">
        <w:rPr>
          <w:rFonts w:cstheme="minorHAnsi"/>
          <w:color w:val="414041" w:themeColor="text1"/>
          <w:sz w:val="20"/>
          <w:szCs w:val="20"/>
        </w:rPr>
        <w:t>all Matching Engines for a single port fee.</w:t>
      </w:r>
    </w:p>
    <w:p w14:paraId="0FF0DB8A" w14:textId="45A71FF5" w:rsidR="00B37BD4" w:rsidRPr="00B37BD4" w:rsidRDefault="00B37BD4" w:rsidP="00B37BD4">
      <w:pPr>
        <w:pStyle w:val="BODYMIAX"/>
        <w:numPr>
          <w:ilvl w:val="0"/>
          <w:numId w:val="63"/>
        </w:numPr>
        <w:tabs>
          <w:tab w:val="left" w:pos="720"/>
        </w:tabs>
        <w:ind w:left="1440" w:hanging="1080"/>
      </w:pPr>
      <w:r w:rsidRPr="00B37BD4">
        <w:rPr>
          <w:rFonts w:cstheme="minorHAnsi"/>
        </w:rPr>
        <w:t>MEO and FIX Ports are counted separately for the tiers in the table.</w:t>
      </w:r>
    </w:p>
    <w:p w14:paraId="2B3C509F" w14:textId="1599E944" w:rsidR="00287307" w:rsidRDefault="00287307" w:rsidP="002405C0">
      <w:pPr>
        <w:pStyle w:val="BODYMIAX"/>
        <w:ind w:left="720"/>
      </w:pPr>
    </w:p>
    <w:p w14:paraId="4C9684FC" w14:textId="0E2B7D51" w:rsidR="001E7E8D" w:rsidRDefault="001E7E8D" w:rsidP="00FD5D9A">
      <w:pPr>
        <w:pStyle w:val="Heading2"/>
        <w:ind w:left="360"/>
      </w:pPr>
      <w:bookmarkStart w:id="18" w:name="_Toc110949418"/>
      <w:r>
        <w:t>e) Member and Non-Member Technical Support Request Fee</w:t>
      </w:r>
      <w:bookmarkEnd w:id="18"/>
    </w:p>
    <w:p w14:paraId="35733D94" w14:textId="77777777" w:rsidR="00264E8C" w:rsidRPr="00264E8C" w:rsidRDefault="00264E8C" w:rsidP="00264E8C"/>
    <w:p w14:paraId="2961E3DB" w14:textId="43F023BA" w:rsidR="002405C0" w:rsidRPr="00B90999" w:rsidRDefault="00FD5D9A" w:rsidP="00B90999">
      <w:pPr>
        <w:widowControl w:val="0"/>
        <w:ind w:left="360"/>
        <w:rPr>
          <w:rFonts w:cstheme="minorHAnsi"/>
          <w:color w:val="414041" w:themeColor="text1"/>
          <w:sz w:val="22"/>
          <w:szCs w:val="22"/>
        </w:rPr>
      </w:pPr>
      <w:r w:rsidRPr="00FD5D9A">
        <w:rPr>
          <w:rFonts w:cstheme="minorHAnsi"/>
          <w:color w:val="414041" w:themeColor="text1"/>
          <w:sz w:val="22"/>
          <w:szCs w:val="22"/>
        </w:rPr>
        <w:t xml:space="preserve">Equity Members and Non-Members that request MIAX </w:t>
      </w:r>
      <w:r w:rsidR="00D27780">
        <w:rPr>
          <w:rFonts w:cstheme="minorHAnsi"/>
          <w:color w:val="414041" w:themeColor="text1"/>
          <w:sz w:val="22"/>
          <w:szCs w:val="22"/>
        </w:rPr>
        <w:t>Pearl</w:t>
      </w:r>
      <w:r w:rsidRPr="00FD5D9A">
        <w:rPr>
          <w:rFonts w:cstheme="minorHAnsi"/>
          <w:color w:val="414041" w:themeColor="text1"/>
          <w:sz w:val="22"/>
          <w:szCs w:val="22"/>
        </w:rPr>
        <w:t xml:space="preserve"> Equities technical support at any of the MIAX </w:t>
      </w:r>
      <w:r w:rsidR="00D27780">
        <w:rPr>
          <w:rFonts w:cstheme="minorHAnsi"/>
          <w:color w:val="414041" w:themeColor="text1"/>
          <w:sz w:val="22"/>
          <w:szCs w:val="22"/>
        </w:rPr>
        <w:t>Pearl</w:t>
      </w:r>
      <w:r w:rsidRPr="00FD5D9A">
        <w:rPr>
          <w:rFonts w:cstheme="minorHAnsi"/>
          <w:color w:val="414041" w:themeColor="text1"/>
          <w:sz w:val="22"/>
          <w:szCs w:val="22"/>
        </w:rPr>
        <w:t xml:space="preserve"> Equities data centers will be assessed a fee of $200 per hour for such technical support.</w:t>
      </w:r>
      <w:r w:rsidR="002405C0">
        <w:br w:type="page"/>
      </w:r>
    </w:p>
    <w:p w14:paraId="58018C9B" w14:textId="45E7167D" w:rsidR="00483606" w:rsidRDefault="001E7E8D" w:rsidP="00483606">
      <w:pPr>
        <w:pStyle w:val="Heading1"/>
      </w:pPr>
      <w:bookmarkStart w:id="19" w:name="_Toc110949419"/>
      <w:r>
        <w:lastRenderedPageBreak/>
        <w:t>3</w:t>
      </w:r>
      <w:r w:rsidR="00A54023">
        <w:t>)</w:t>
      </w:r>
      <w:r w:rsidR="00483606">
        <w:t xml:space="preserve"> Market Data Fees</w:t>
      </w:r>
      <w:bookmarkEnd w:id="19"/>
    </w:p>
    <w:p w14:paraId="0CD8C7B6" w14:textId="73725107" w:rsidR="00304C5B" w:rsidRDefault="00304C5B" w:rsidP="00823852">
      <w:pPr>
        <w:pStyle w:val="BODYMIAX"/>
      </w:pPr>
    </w:p>
    <w:p w14:paraId="47E9DC97" w14:textId="41B7C9B7" w:rsidR="00483606" w:rsidRDefault="00483606" w:rsidP="00FD5D9A">
      <w:pPr>
        <w:pStyle w:val="Heading2"/>
        <w:ind w:left="360"/>
      </w:pPr>
      <w:bookmarkStart w:id="20" w:name="_Toc110949420"/>
      <w:r>
        <w:t xml:space="preserve">a) MIAX </w:t>
      </w:r>
      <w:r w:rsidR="00D27780">
        <w:t>Pearl</w:t>
      </w:r>
      <w:r>
        <w:t xml:space="preserve"> </w:t>
      </w:r>
      <w:r w:rsidR="001E7E8D">
        <w:t xml:space="preserve">Equities </w:t>
      </w:r>
      <w:r>
        <w:t>Top of Market (“</w:t>
      </w:r>
      <w:proofErr w:type="spellStart"/>
      <w:r>
        <w:t>ToM</w:t>
      </w:r>
      <w:proofErr w:type="spellEnd"/>
      <w:r>
        <w:t>”)</w:t>
      </w:r>
      <w:r w:rsidR="001E7E8D">
        <w:t xml:space="preserve"> Feed</w:t>
      </w:r>
      <w:bookmarkEnd w:id="20"/>
    </w:p>
    <w:p w14:paraId="5C0EFF7A" w14:textId="0DA68C90" w:rsidR="00483606" w:rsidRDefault="00483606" w:rsidP="00483606">
      <w:pPr>
        <w:pStyle w:val="BODYMIAX"/>
        <w:ind w:left="720"/>
      </w:pPr>
    </w:p>
    <w:p w14:paraId="283BEBA7" w14:textId="77777777" w:rsidR="00FD5D9A" w:rsidRPr="00FD5D9A" w:rsidRDefault="00FD5D9A" w:rsidP="00FD5D9A">
      <w:pPr>
        <w:widowControl w:val="0"/>
        <w:ind w:left="360"/>
        <w:rPr>
          <w:rFonts w:cstheme="minorHAnsi"/>
          <w:b/>
          <w:sz w:val="22"/>
          <w:szCs w:val="22"/>
        </w:rPr>
      </w:pPr>
      <w:r w:rsidRPr="00FD5D9A">
        <w:rPr>
          <w:rFonts w:cstheme="minorHAnsi"/>
          <w:color w:val="414041" w:themeColor="text1"/>
          <w:sz w:val="22"/>
          <w:szCs w:val="22"/>
        </w:rPr>
        <w:t>Fees Waived for the Waiver Period.</w:t>
      </w:r>
    </w:p>
    <w:p w14:paraId="496B2B48" w14:textId="77777777" w:rsidR="001E7E8D" w:rsidRDefault="001E7E8D" w:rsidP="00483606">
      <w:pPr>
        <w:pStyle w:val="BODYMIAX"/>
        <w:ind w:left="720"/>
      </w:pPr>
    </w:p>
    <w:p w14:paraId="624B96E4" w14:textId="321862BD" w:rsidR="00483606" w:rsidRDefault="00483606" w:rsidP="006C065B">
      <w:pPr>
        <w:pStyle w:val="Heading2"/>
        <w:ind w:left="360"/>
      </w:pPr>
      <w:bookmarkStart w:id="21" w:name="_Toc110949421"/>
      <w:r>
        <w:t xml:space="preserve">b) </w:t>
      </w:r>
      <w:r w:rsidR="00441349">
        <w:t xml:space="preserve">MIAX </w:t>
      </w:r>
      <w:r w:rsidR="00D27780">
        <w:t>Pearl</w:t>
      </w:r>
      <w:r w:rsidR="00441349">
        <w:t xml:space="preserve"> </w:t>
      </w:r>
      <w:r w:rsidR="001E7E8D">
        <w:t>Equities Depth of Market (“</w:t>
      </w:r>
      <w:proofErr w:type="spellStart"/>
      <w:r w:rsidR="001E7E8D">
        <w:t>DoM</w:t>
      </w:r>
      <w:proofErr w:type="spellEnd"/>
      <w:r w:rsidR="001E7E8D">
        <w:t>”) Feed</w:t>
      </w:r>
      <w:bookmarkEnd w:id="21"/>
    </w:p>
    <w:p w14:paraId="3D3B42E7" w14:textId="0B54E758" w:rsidR="00483606" w:rsidRDefault="00483606" w:rsidP="00483606">
      <w:pPr>
        <w:pStyle w:val="BODYMIAX"/>
        <w:ind w:left="720"/>
      </w:pPr>
    </w:p>
    <w:p w14:paraId="25ADE77C" w14:textId="4BCD2AC3" w:rsidR="006C065B" w:rsidRPr="006C065B" w:rsidRDefault="006C065B" w:rsidP="006C065B">
      <w:pPr>
        <w:widowControl w:val="0"/>
        <w:ind w:left="360"/>
        <w:rPr>
          <w:rFonts w:cstheme="minorHAnsi"/>
          <w:color w:val="414041" w:themeColor="text1"/>
          <w:sz w:val="22"/>
          <w:szCs w:val="22"/>
        </w:rPr>
      </w:pPr>
      <w:r w:rsidRPr="006C065B">
        <w:rPr>
          <w:rFonts w:cstheme="minorHAnsi"/>
          <w:color w:val="414041" w:themeColor="text1"/>
          <w:sz w:val="22"/>
          <w:szCs w:val="22"/>
        </w:rPr>
        <w:t>Fees Waived for the Waiver Period.</w:t>
      </w:r>
    </w:p>
    <w:p w14:paraId="533BD8A2" w14:textId="39F2AB80" w:rsidR="00483606" w:rsidRDefault="00483606" w:rsidP="00483606">
      <w:pPr>
        <w:pStyle w:val="BODYMIAX"/>
        <w:ind w:left="720"/>
      </w:pPr>
    </w:p>
    <w:p w14:paraId="1097EA8B" w14:textId="78238D2C" w:rsidR="00483606" w:rsidRDefault="00483606" w:rsidP="006C065B">
      <w:pPr>
        <w:pStyle w:val="Heading2"/>
        <w:ind w:left="360"/>
      </w:pPr>
      <w:bookmarkStart w:id="22" w:name="_Toc110949422"/>
      <w:r>
        <w:t xml:space="preserve">c) </w:t>
      </w:r>
      <w:r w:rsidR="00441349">
        <w:t>Historical Market Data</w:t>
      </w:r>
      <w:bookmarkEnd w:id="22"/>
    </w:p>
    <w:p w14:paraId="5D0DC9BC" w14:textId="77777777" w:rsidR="00483606" w:rsidRDefault="00483606" w:rsidP="00441349">
      <w:pPr>
        <w:pStyle w:val="BODYMIAX"/>
        <w:ind w:left="720"/>
      </w:pPr>
    </w:p>
    <w:tbl>
      <w:tblPr>
        <w:tblStyle w:val="TableGrid"/>
        <w:tblW w:w="0" w:type="auto"/>
        <w:tblBorders>
          <w:top w:val="single" w:sz="4" w:space="0" w:color="A6A6A6" w:themeColor="accent2"/>
          <w:left w:val="single" w:sz="4" w:space="0" w:color="A6A6A6" w:themeColor="accent2"/>
          <w:bottom w:val="single" w:sz="4" w:space="0" w:color="A6A6A6" w:themeColor="accent2"/>
          <w:right w:val="single" w:sz="4" w:space="0" w:color="A6A6A6" w:themeColor="accent2"/>
          <w:insideH w:val="single" w:sz="4" w:space="0" w:color="A6A6A6" w:themeColor="accent2"/>
          <w:insideV w:val="single" w:sz="4" w:space="0" w:color="A6A6A6" w:themeColor="accent2"/>
        </w:tblBorders>
        <w:tblLook w:val="04A0" w:firstRow="1" w:lastRow="0" w:firstColumn="1" w:lastColumn="0" w:noHBand="0" w:noVBand="1"/>
      </w:tblPr>
      <w:tblGrid>
        <w:gridCol w:w="5208"/>
        <w:gridCol w:w="5208"/>
      </w:tblGrid>
      <w:tr w:rsidR="00483606" w:rsidRPr="00494528" w14:paraId="7C91B183" w14:textId="77777777" w:rsidTr="007377D0">
        <w:tc>
          <w:tcPr>
            <w:tcW w:w="5208" w:type="dxa"/>
            <w:shd w:val="clear" w:color="auto" w:fill="414041" w:themeFill="text1"/>
            <w:vAlign w:val="bottom"/>
          </w:tcPr>
          <w:p w14:paraId="75011818" w14:textId="321167FE" w:rsidR="00483606" w:rsidRPr="00494528" w:rsidRDefault="00483606" w:rsidP="007377D0">
            <w:pPr>
              <w:pStyle w:val="BODYMIAX"/>
              <w:jc w:val="center"/>
              <w:rPr>
                <w:b/>
                <w:bCs/>
                <w:color w:val="FFFFFF" w:themeColor="background1"/>
              </w:rPr>
            </w:pPr>
            <w:r>
              <w:rPr>
                <w:b/>
                <w:bCs/>
                <w:color w:val="FFFFFF" w:themeColor="background1"/>
              </w:rPr>
              <w:t>User Type</w:t>
            </w:r>
          </w:p>
        </w:tc>
        <w:tc>
          <w:tcPr>
            <w:tcW w:w="5208" w:type="dxa"/>
            <w:shd w:val="clear" w:color="auto" w:fill="414041" w:themeFill="text1"/>
            <w:vAlign w:val="bottom"/>
          </w:tcPr>
          <w:p w14:paraId="46065903" w14:textId="17130A3A" w:rsidR="00483606" w:rsidRPr="00494528" w:rsidRDefault="00483606" w:rsidP="007377D0">
            <w:pPr>
              <w:pStyle w:val="BODYMIAX"/>
              <w:jc w:val="center"/>
              <w:rPr>
                <w:b/>
                <w:bCs/>
                <w:color w:val="FFFFFF" w:themeColor="background1"/>
              </w:rPr>
            </w:pPr>
            <w:r>
              <w:rPr>
                <w:b/>
                <w:bCs/>
                <w:color w:val="FFFFFF" w:themeColor="background1"/>
              </w:rPr>
              <w:t>Fee</w:t>
            </w:r>
            <w:r w:rsidR="00AA56E2">
              <w:rPr>
                <w:b/>
                <w:bCs/>
                <w:color w:val="FFFFFF" w:themeColor="background1"/>
              </w:rPr>
              <w:t xml:space="preserve"> Per Device</w:t>
            </w:r>
          </w:p>
        </w:tc>
      </w:tr>
      <w:tr w:rsidR="006C065B" w14:paraId="58B83F3D" w14:textId="77777777" w:rsidTr="007377D0">
        <w:tc>
          <w:tcPr>
            <w:tcW w:w="5208" w:type="dxa"/>
          </w:tcPr>
          <w:p w14:paraId="7C53DE3B" w14:textId="2DCD8AD3" w:rsidR="006C065B" w:rsidRPr="006C065B" w:rsidRDefault="006C065B" w:rsidP="006C065B">
            <w:pPr>
              <w:pStyle w:val="BODYMIAX"/>
            </w:pPr>
            <w:r>
              <w:rPr>
                <w:rFonts w:cstheme="minorHAnsi"/>
              </w:rPr>
              <w:t>Members and Non-</w:t>
            </w:r>
            <w:r w:rsidRPr="006C065B">
              <w:rPr>
                <w:rFonts w:cstheme="minorHAnsi"/>
              </w:rPr>
              <w:t>Members</w:t>
            </w:r>
          </w:p>
        </w:tc>
        <w:tc>
          <w:tcPr>
            <w:tcW w:w="5208" w:type="dxa"/>
          </w:tcPr>
          <w:p w14:paraId="38817026" w14:textId="27994732" w:rsidR="006C065B" w:rsidRPr="006C065B" w:rsidRDefault="006C065B" w:rsidP="006C065B">
            <w:pPr>
              <w:pStyle w:val="BODYMIAX"/>
            </w:pPr>
            <w:r w:rsidRPr="006C065B">
              <w:rPr>
                <w:rFonts w:cstheme="minorHAnsi"/>
              </w:rPr>
              <w:t>$500</w:t>
            </w:r>
          </w:p>
        </w:tc>
      </w:tr>
    </w:tbl>
    <w:p w14:paraId="2C04C51E" w14:textId="08B90CE7" w:rsidR="00483606" w:rsidRPr="007E7CCD" w:rsidRDefault="00483606" w:rsidP="001E7E8D">
      <w:pPr>
        <w:pStyle w:val="BODYMIAX"/>
        <w:rPr>
          <w:sz w:val="22"/>
          <w:szCs w:val="22"/>
        </w:rPr>
      </w:pPr>
    </w:p>
    <w:p w14:paraId="512A8994" w14:textId="44B72DE8" w:rsidR="007E7CCD" w:rsidRPr="007E7CCD" w:rsidRDefault="007E7CCD" w:rsidP="007E7CCD">
      <w:pPr>
        <w:widowControl w:val="0"/>
        <w:ind w:left="360"/>
        <w:jc w:val="both"/>
        <w:rPr>
          <w:rFonts w:cstheme="minorHAnsi"/>
          <w:b/>
          <w:color w:val="414041" w:themeColor="text1"/>
          <w:sz w:val="22"/>
          <w:szCs w:val="22"/>
        </w:rPr>
      </w:pPr>
      <w:r w:rsidRPr="007E7CCD">
        <w:rPr>
          <w:rFonts w:cstheme="minorHAnsi"/>
          <w:color w:val="414041" w:themeColor="text1"/>
          <w:sz w:val="22"/>
          <w:szCs w:val="22"/>
        </w:rPr>
        <w:t xml:space="preserve">MIAX </w:t>
      </w:r>
      <w:r w:rsidR="00D27780">
        <w:rPr>
          <w:rFonts w:cstheme="minorHAnsi"/>
          <w:color w:val="414041" w:themeColor="text1"/>
          <w:sz w:val="22"/>
          <w:szCs w:val="22"/>
        </w:rPr>
        <w:t>Pearl</w:t>
      </w:r>
      <w:r w:rsidRPr="007E7CCD">
        <w:rPr>
          <w:rFonts w:cstheme="minorHAnsi"/>
          <w:color w:val="414041" w:themeColor="text1"/>
          <w:sz w:val="22"/>
          <w:szCs w:val="22"/>
        </w:rPr>
        <w:t xml:space="preserve"> Equities will assess Market Data Fees applicable to Historical Market Data on users (Members and Non-Members) that request Historical Market Data on a per device basis.  Historical Market Data consists of all proprietary trading data published by MIAX </w:t>
      </w:r>
      <w:r w:rsidR="00D27780">
        <w:rPr>
          <w:rFonts w:cstheme="minorHAnsi"/>
          <w:color w:val="414041" w:themeColor="text1"/>
          <w:sz w:val="22"/>
          <w:szCs w:val="22"/>
        </w:rPr>
        <w:t>Pearl</w:t>
      </w:r>
      <w:r w:rsidRPr="007E7CCD">
        <w:rPr>
          <w:rFonts w:cstheme="minorHAnsi"/>
          <w:color w:val="414041" w:themeColor="text1"/>
          <w:sz w:val="22"/>
          <w:szCs w:val="22"/>
        </w:rPr>
        <w:t xml:space="preserve"> Equities through its proprietary market data feeds, from September 25, 2020 to the present (on a T+1 basis).  Historical Market Data is uploaded onto an Exchange-provided device.  Users may request up to six months of Historical Market Data per device, subject to the device’s storage capacity.  Only the most recent six months of Historical Market Data shall be available for purchase from the date of the request.</w:t>
      </w:r>
    </w:p>
    <w:p w14:paraId="7B877484" w14:textId="7866C5EF" w:rsidR="008273CC" w:rsidRDefault="008273CC"/>
    <w:p w14:paraId="2ECC06C7" w14:textId="08F1378B" w:rsidR="00F11201" w:rsidRDefault="00F11201" w:rsidP="00F11201">
      <w:pPr>
        <w:pStyle w:val="Heading1"/>
      </w:pPr>
      <w:bookmarkStart w:id="23" w:name="_Toc110949423"/>
      <w:r>
        <w:t>4) Additional Fees</w:t>
      </w:r>
      <w:bookmarkEnd w:id="23"/>
    </w:p>
    <w:p w14:paraId="5287E9AC" w14:textId="1C6B1074" w:rsidR="008273CC" w:rsidRDefault="008273CC"/>
    <w:p w14:paraId="56202A13" w14:textId="77777777" w:rsidR="008273CC" w:rsidRPr="008273CC" w:rsidRDefault="008273CC" w:rsidP="008273CC">
      <w:pPr>
        <w:pStyle w:val="NormalWeb"/>
        <w:shd w:val="clear" w:color="auto" w:fill="FFFFFF"/>
        <w:spacing w:before="0" w:beforeAutospacing="0" w:after="0" w:afterAutospacing="0"/>
        <w:ind w:left="360"/>
        <w:rPr>
          <w:rFonts w:ascii="Arial" w:hAnsi="Arial" w:cstheme="minorHAnsi"/>
          <w:color w:val="414041" w:themeColor="text1"/>
          <w:sz w:val="22"/>
          <w:szCs w:val="22"/>
        </w:rPr>
      </w:pPr>
      <w:r w:rsidRPr="008273CC">
        <w:rPr>
          <w:rFonts w:ascii="Arial" w:hAnsi="Arial" w:cstheme="minorHAnsi"/>
          <w:color w:val="414041" w:themeColor="text1"/>
          <w:sz w:val="22"/>
          <w:szCs w:val="22"/>
        </w:rPr>
        <w:t>Additional fees are set forth in Rule 3000 of the MIAX PEARL Rule book.  Such fees include Regulatory Transaction Fees collected to fund the Exchange’s Section 31 obligations.</w:t>
      </w:r>
    </w:p>
    <w:p w14:paraId="6EF6946C" w14:textId="44CB9E62" w:rsidR="00963CC4" w:rsidRPr="007E7CCD" w:rsidRDefault="00963CC4">
      <w:pPr>
        <w:rPr>
          <w:rFonts w:cs="Arial"/>
          <w:b/>
          <w:bCs/>
          <w:color w:val="F15822"/>
          <w:sz w:val="22"/>
          <w:szCs w:val="22"/>
        </w:rPr>
      </w:pPr>
      <w:r>
        <w:br w:type="page"/>
      </w:r>
    </w:p>
    <w:bookmarkEnd w:id="5"/>
    <w:p w14:paraId="6E55E5B9" w14:textId="057F746E" w:rsidR="00A743EB" w:rsidRDefault="00423471" w:rsidP="007419DB">
      <w:pPr>
        <w:pStyle w:val="BulletMIAX"/>
        <w:numPr>
          <w:ilvl w:val="0"/>
          <w:numId w:val="0"/>
        </w:numPr>
        <w:ind w:left="360" w:hanging="216"/>
      </w:pPr>
      <w:r w:rsidRPr="00242938">
        <w:rPr>
          <w:noProof/>
        </w:rPr>
        <w:lastRenderedPageBreak/>
        <mc:AlternateContent>
          <mc:Choice Requires="wps">
            <w:drawing>
              <wp:anchor distT="0" distB="0" distL="114300" distR="114300" simplePos="0" relativeHeight="251651584" behindDoc="0" locked="0" layoutInCell="1" allowOverlap="1" wp14:anchorId="1BC14680" wp14:editId="7C55DA95">
                <wp:simplePos x="0" y="0"/>
                <wp:positionH relativeFrom="column">
                  <wp:posOffset>-567994</wp:posOffset>
                </wp:positionH>
                <wp:positionV relativeFrom="paragraph">
                  <wp:posOffset>-1400920</wp:posOffset>
                </wp:positionV>
                <wp:extent cx="7772400" cy="10535478"/>
                <wp:effectExtent l="0" t="0" r="19050" b="1841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535478"/>
                        </a:xfrm>
                        <a:prstGeom prst="rect">
                          <a:avLst/>
                        </a:prstGeom>
                        <a:solidFill>
                          <a:srgbClr val="414042"/>
                        </a:solidFill>
                        <a:ln w="12700" cap="flat" cmpd="sng" algn="ctr">
                          <a:solidFill>
                            <a:srgbClr val="FFFEFE">
                              <a:shade val="50000"/>
                            </a:srgbClr>
                          </a:solidFill>
                          <a:prstDash val="solid"/>
                          <a:miter lim="800000"/>
                        </a:ln>
                        <a:effectLst/>
                      </wps:spPr>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00E5D" id="Rectangle 82" o:spid="_x0000_s1026" style="position:absolute;margin-left:-44.7pt;margin-top:-110.3pt;width:612pt;height:829.5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" fillcolor="#414042" strokecolor="#bcbbbb" strokeweight="1pt">
                <v:path arrowok="t"/>
                <v:textbox inset="0,0,0,0"/>
              </v:rect>
            </w:pict>
          </mc:Fallback>
        </mc:AlternateContent>
      </w:r>
      <w:r w:rsidR="007419DB">
        <w:rPr>
          <w:noProof/>
        </w:rPr>
        <w:drawing>
          <wp:anchor distT="0" distB="0" distL="114300" distR="114300" simplePos="0" relativeHeight="251662848" behindDoc="0" locked="0" layoutInCell="1" allowOverlap="1" wp14:anchorId="672AB506" wp14:editId="4DED58FC">
            <wp:simplePos x="0" y="0"/>
            <wp:positionH relativeFrom="column">
              <wp:posOffset>2502106</wp:posOffset>
            </wp:positionH>
            <wp:positionV relativeFrom="paragraph">
              <wp:posOffset>713230</wp:posOffset>
            </wp:positionV>
            <wp:extent cx="1684891" cy="1036856"/>
            <wp:effectExtent l="0" t="0" r="0" b="0"/>
            <wp:wrapNone/>
            <wp:docPr id="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1"/>
                    <pic:cNvPicPr>
                      <a:picLocks/>
                    </pic:cNvPicPr>
                  </pic:nvPicPr>
                  <pic:blipFill>
                    <a:blip r:embed="rId13" cstate="hqprint">
                      <a:extLst>
                        <a:ext uri="{28A0092B-C50C-407E-A947-70E740481C1C}">
                          <a14:useLocalDpi xmlns:a14="http://schemas.microsoft.com/office/drawing/2010/main" val="0"/>
                        </a:ext>
                      </a:extLst>
                    </a:blip>
                    <a:stretch>
                      <a:fillRect/>
                    </a:stretch>
                  </pic:blipFill>
                  <pic:spPr bwMode="auto">
                    <a:xfrm>
                      <a:off x="0" y="0"/>
                      <a:ext cx="1684891" cy="1036856"/>
                    </a:xfrm>
                    <a:prstGeom prst="rect">
                      <a:avLst/>
                    </a:prstGeom>
                    <a:noFill/>
                  </pic:spPr>
                </pic:pic>
              </a:graphicData>
            </a:graphic>
            <wp14:sizeRelH relativeFrom="margin">
              <wp14:pctWidth>0</wp14:pctWidth>
            </wp14:sizeRelH>
            <wp14:sizeRelV relativeFrom="margin">
              <wp14:pctHeight>0</wp14:pctHeight>
            </wp14:sizeRelV>
          </wp:anchor>
        </w:drawing>
      </w:r>
      <w:r w:rsidR="005C173D">
        <w:rPr>
          <w:noProof/>
        </w:rPr>
        <mc:AlternateContent>
          <mc:Choice Requires="wps">
            <w:drawing>
              <wp:anchor distT="0" distB="0" distL="114300" distR="114300" simplePos="0" relativeHeight="251654656" behindDoc="0" locked="0" layoutInCell="1" allowOverlap="1" wp14:anchorId="1041C5A0" wp14:editId="7D355F41">
                <wp:simplePos x="0" y="0"/>
                <wp:positionH relativeFrom="column">
                  <wp:posOffset>211455</wp:posOffset>
                </wp:positionH>
                <wp:positionV relativeFrom="paragraph">
                  <wp:posOffset>3761105</wp:posOffset>
                </wp:positionV>
                <wp:extent cx="6197600" cy="377507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7600" cy="3775075"/>
                        </a:xfrm>
                        <a:prstGeom prst="rect">
                          <a:avLst/>
                        </a:prstGeom>
                        <a:noFill/>
                        <a:ln w="6350">
                          <a:noFill/>
                        </a:ln>
                      </wps:spPr>
                      <wps:txbx>
                        <w:txbxContent>
                          <w:p w14:paraId="260662C0" w14:textId="5CB6D75B" w:rsidR="009748AD" w:rsidRPr="00092689" w:rsidRDefault="009748AD" w:rsidP="00092689">
                            <w:pPr>
                              <w:pStyle w:val="hyperlinkMIAX"/>
                              <w:jc w:val="center"/>
                              <w:rPr>
                                <w:b/>
                                <w:bCs/>
                                <w:sz w:val="26"/>
                                <w:szCs w:val="26"/>
                              </w:rPr>
                            </w:pPr>
                            <w:r>
                              <w:rPr>
                                <w:b/>
                                <w:bCs/>
                                <w:sz w:val="26"/>
                                <w:szCs w:val="26"/>
                              </w:rPr>
                              <w:t>miax</w:t>
                            </w:r>
                            <w:r w:rsidR="00765758">
                              <w:rPr>
                                <w:b/>
                                <w:bCs/>
                                <w:sz w:val="26"/>
                                <w:szCs w:val="26"/>
                              </w:rPr>
                              <w:t>equities</w:t>
                            </w:r>
                            <w:r>
                              <w:rPr>
                                <w:b/>
                                <w:bCs/>
                                <w:sz w:val="26"/>
                                <w:szCs w:val="26"/>
                              </w:rPr>
                              <w:t>.com</w:t>
                            </w:r>
                          </w:p>
                          <w:p w14:paraId="5E0738FD" w14:textId="77777777" w:rsidR="009748AD" w:rsidRPr="005843D0" w:rsidRDefault="009748AD" w:rsidP="00CE1565">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1C5A0" id="Text Box 14" o:spid="_x0000_s1032" type="#_x0000_t202" style="position:absolute;left:0;text-align:left;margin-left:16.65pt;margin-top:296.15pt;width:488pt;height:29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" filled="f" stroked="f" strokeweight=".5pt">
                <v:path arrowok="t"/>
                <v:textbox>
                  <w:txbxContent>
                    <w:p w14:paraId="260662C0" w14:textId="5CB6D75B" w:rsidR="009748AD" w:rsidRPr="00092689" w:rsidRDefault="009748AD" w:rsidP="00092689">
                      <w:pPr>
                        <w:pStyle w:val="hyperlinkMIAX"/>
                        <w:jc w:val="center"/>
                        <w:rPr>
                          <w:b/>
                          <w:bCs/>
                          <w:sz w:val="26"/>
                          <w:szCs w:val="26"/>
                        </w:rPr>
                      </w:pPr>
                      <w:r>
                        <w:rPr>
                          <w:b/>
                          <w:bCs/>
                          <w:sz w:val="26"/>
                          <w:szCs w:val="26"/>
                        </w:rPr>
                        <w:t>miax</w:t>
                      </w:r>
                      <w:r w:rsidR="00765758">
                        <w:rPr>
                          <w:b/>
                          <w:bCs/>
                          <w:sz w:val="26"/>
                          <w:szCs w:val="26"/>
                        </w:rPr>
                        <w:t>equities</w:t>
                      </w:r>
                      <w:r>
                        <w:rPr>
                          <w:b/>
                          <w:bCs/>
                          <w:sz w:val="26"/>
                          <w:szCs w:val="26"/>
                        </w:rPr>
                        <w:t>.com</w:t>
                      </w:r>
                    </w:p>
                    <w:p w14:paraId="5E0738FD" w14:textId="77777777" w:rsidR="009748AD" w:rsidRPr="005843D0" w:rsidRDefault="009748AD" w:rsidP="00CE1565">
                      <w:pPr>
                        <w:rPr>
                          <w:noProof/>
                        </w:rPr>
                      </w:pPr>
                    </w:p>
                  </w:txbxContent>
                </v:textbox>
                <w10:wrap type="square"/>
              </v:shape>
            </w:pict>
          </mc:Fallback>
        </mc:AlternateContent>
      </w:r>
    </w:p>
    <w:sectPr w:rsidR="00A743EB" w:rsidSect="00906B99">
      <w:pgSz w:w="12240" w:h="15840"/>
      <w:pgMar w:top="1530" w:right="907" w:bottom="1440" w:left="907" w:header="648" w:footer="3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8FA75" w14:textId="77777777" w:rsidR="009748AD" w:rsidRDefault="009748AD" w:rsidP="001C35FD">
      <w:r>
        <w:separator/>
      </w:r>
    </w:p>
  </w:endnote>
  <w:endnote w:type="continuationSeparator" w:id="0">
    <w:p w14:paraId="53FE579E" w14:textId="77777777" w:rsidR="009748AD" w:rsidRDefault="009748AD" w:rsidP="001C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charset w:val="00"/>
    <w:family w:val="roman"/>
    <w:pitch w:val="variable"/>
    <w:sig w:usb0="00000001"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3ED40" w14:textId="77777777" w:rsidR="009748AD" w:rsidRDefault="009748AD" w:rsidP="002E26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A61770F" w14:textId="77777777" w:rsidR="009748AD" w:rsidRDefault="009748AD" w:rsidP="00E315C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182146E1" w14:textId="77777777" w:rsidR="009748AD" w:rsidRDefault="009748AD" w:rsidP="00E315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9CBF" w14:textId="5B5760B0" w:rsidR="009748AD" w:rsidRPr="006C214E" w:rsidRDefault="009748AD" w:rsidP="006C214E">
    <w:pPr>
      <w:pStyle w:val="Footer"/>
      <w:tabs>
        <w:tab w:val="clear" w:pos="4680"/>
        <w:tab w:val="clear" w:pos="9360"/>
        <w:tab w:val="right" w:pos="10800"/>
      </w:tabs>
      <w:rPr>
        <w:rFonts w:asciiTheme="minorHAnsi" w:hAnsiTheme="minorHAnsi" w:cstheme="minorHAnsi"/>
        <w:b/>
        <w:bCs/>
        <w:color w:val="F15822"/>
        <w:sz w:val="18"/>
        <w:szCs w:val="18"/>
      </w:rPr>
    </w:pPr>
    <w:r w:rsidRPr="000E4013">
      <w:rPr>
        <w:rFonts w:asciiTheme="minorHAnsi" w:hAnsiTheme="minorHAnsi" w:cstheme="minorHAnsi"/>
        <w:color w:val="414041" w:themeColor="text1"/>
        <w:sz w:val="16"/>
        <w:szCs w:val="16"/>
      </w:rPr>
      <w:t>© 2021 Miami International Holdings, Inc. and its subsidiaries. All Rights Reserved.</w:t>
    </w:r>
    <w:r w:rsidRPr="000E4013">
      <w:rPr>
        <w:rFonts w:asciiTheme="minorHAnsi" w:hAnsiTheme="minorHAnsi" w:cstheme="minorHAnsi"/>
        <w:color w:val="424143"/>
        <w:sz w:val="14"/>
        <w:szCs w:val="14"/>
      </w:rPr>
      <w:tab/>
    </w:r>
    <w:r w:rsidRPr="000E4013">
      <w:rPr>
        <w:rFonts w:asciiTheme="minorHAnsi" w:hAnsiTheme="minorHAnsi" w:cstheme="minorHAnsi"/>
        <w:b/>
        <w:bCs/>
        <w:color w:val="F15822"/>
        <w:sz w:val="18"/>
        <w:szCs w:val="18"/>
      </w:rPr>
      <w:fldChar w:fldCharType="begin"/>
    </w:r>
    <w:r w:rsidRPr="000E4013">
      <w:rPr>
        <w:rFonts w:asciiTheme="minorHAnsi" w:hAnsiTheme="minorHAnsi" w:cstheme="minorHAnsi"/>
        <w:b/>
        <w:bCs/>
        <w:color w:val="F15822"/>
        <w:sz w:val="18"/>
        <w:szCs w:val="18"/>
      </w:rPr>
      <w:instrText xml:space="preserve"> PAGE   \* MERGEFORMAT </w:instrText>
    </w:r>
    <w:r w:rsidRPr="000E4013">
      <w:rPr>
        <w:rFonts w:asciiTheme="minorHAnsi" w:hAnsiTheme="minorHAnsi" w:cstheme="minorHAnsi"/>
        <w:b/>
        <w:bCs/>
        <w:color w:val="F15822"/>
        <w:sz w:val="18"/>
        <w:szCs w:val="18"/>
      </w:rPr>
      <w:fldChar w:fldCharType="separate"/>
    </w:r>
    <w:r w:rsidR="00DD2ED3">
      <w:rPr>
        <w:rFonts w:asciiTheme="minorHAnsi" w:hAnsiTheme="minorHAnsi" w:cstheme="minorHAnsi"/>
        <w:b/>
        <w:bCs/>
        <w:noProof/>
        <w:color w:val="F15822"/>
        <w:sz w:val="18"/>
        <w:szCs w:val="18"/>
      </w:rPr>
      <w:t>12</w:t>
    </w:r>
    <w:r w:rsidRPr="000E4013">
      <w:rPr>
        <w:rFonts w:asciiTheme="minorHAnsi" w:hAnsiTheme="minorHAnsi" w:cstheme="minorHAnsi"/>
        <w:b/>
        <w:bCs/>
        <w:noProof/>
        <w:color w:val="F1582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A8E6C" w14:textId="77777777" w:rsidR="009748AD" w:rsidRDefault="009748AD" w:rsidP="001C35FD">
      <w:r>
        <w:separator/>
      </w:r>
    </w:p>
  </w:footnote>
  <w:footnote w:type="continuationSeparator" w:id="0">
    <w:p w14:paraId="3E67FED1" w14:textId="77777777" w:rsidR="009748AD" w:rsidRDefault="009748AD" w:rsidP="001C3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58A7" w14:textId="77777777" w:rsidR="009748AD" w:rsidRDefault="009748AD" w:rsidP="00011549">
    <w:pPr>
      <w:tabs>
        <w:tab w:val="left" w:pos="2496"/>
      </w:tabs>
    </w:pPr>
    <w:r>
      <w:rPr>
        <w:noProof/>
      </w:rPr>
      <w:drawing>
        <wp:anchor distT="0" distB="0" distL="114300" distR="117475" simplePos="0" relativeHeight="251658240" behindDoc="0" locked="0" layoutInCell="1" allowOverlap="1" wp14:anchorId="7E6E73B5" wp14:editId="6E59DF29">
          <wp:simplePos x="0" y="0"/>
          <wp:positionH relativeFrom="column">
            <wp:posOffset>5477510</wp:posOffset>
          </wp:positionH>
          <wp:positionV relativeFrom="paragraph">
            <wp:posOffset>99695</wp:posOffset>
          </wp:positionV>
          <wp:extent cx="885825" cy="546735"/>
          <wp:effectExtent l="0" t="0" r="0" b="0"/>
          <wp:wrapNone/>
          <wp:docPr id="8"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467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5E16" w14:textId="2D60167D" w:rsidR="009748AD" w:rsidRPr="000E4013" w:rsidRDefault="009748AD" w:rsidP="00D80528">
    <w:pPr>
      <w:tabs>
        <w:tab w:val="left" w:pos="2496"/>
      </w:tabs>
      <w:spacing w:line="276" w:lineRule="auto"/>
      <w:rPr>
        <w:rFonts w:asciiTheme="minorHAnsi" w:hAnsiTheme="minorHAnsi" w:cstheme="minorHAnsi"/>
        <w:color w:val="414041" w:themeColor="text1"/>
        <w:sz w:val="18"/>
        <w:szCs w:val="18"/>
      </w:rPr>
    </w:pPr>
    <w:r w:rsidRPr="000E4013">
      <w:rPr>
        <w:rFonts w:asciiTheme="minorHAnsi" w:hAnsiTheme="minorHAnsi" w:cstheme="minorHAnsi"/>
        <w:noProof/>
        <w:color w:val="414041" w:themeColor="text1"/>
      </w:rPr>
      <w:drawing>
        <wp:anchor distT="0" distB="0" distL="114300" distR="114300" simplePos="0" relativeHeight="251657216" behindDoc="0" locked="0" layoutInCell="1" allowOverlap="1" wp14:anchorId="08D32434" wp14:editId="1A03FC11">
          <wp:simplePos x="0" y="0"/>
          <wp:positionH relativeFrom="column">
            <wp:posOffset>5953644</wp:posOffset>
          </wp:positionH>
          <wp:positionV relativeFrom="page">
            <wp:posOffset>389608</wp:posOffset>
          </wp:positionV>
          <wp:extent cx="721934" cy="439285"/>
          <wp:effectExtent l="0" t="0" r="2540" b="5715"/>
          <wp:wrapNone/>
          <wp:docPr id="11" name="Graphic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phic 50"/>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21934" cy="439285"/>
                  </a:xfrm>
                  <a:prstGeom prst="rect">
                    <a:avLst/>
                  </a:prstGeom>
                  <a:noFill/>
                </pic:spPr>
              </pic:pic>
            </a:graphicData>
          </a:graphic>
          <wp14:sizeRelH relativeFrom="page">
            <wp14:pctWidth>0</wp14:pctWidth>
          </wp14:sizeRelH>
          <wp14:sizeRelV relativeFrom="page">
            <wp14:pctHeight>0</wp14:pctHeight>
          </wp14:sizeRelV>
        </wp:anchor>
      </w:drawing>
    </w:r>
  </w:p>
  <w:p w14:paraId="4E8007D3" w14:textId="2E154675" w:rsidR="009748AD" w:rsidRPr="00341157" w:rsidRDefault="009748AD" w:rsidP="00341157">
    <w:pPr>
      <w:tabs>
        <w:tab w:val="left" w:pos="2496"/>
      </w:tabs>
      <w:spacing w:line="276" w:lineRule="auto"/>
      <w:rPr>
        <w:rFonts w:asciiTheme="minorHAnsi" w:hAnsiTheme="minorHAnsi" w:cstheme="minorHAnsi"/>
        <w:color w:val="414041"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C437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7017B"/>
    <w:multiLevelType w:val="hybridMultilevel"/>
    <w:tmpl w:val="17125D40"/>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5981"/>
    <w:multiLevelType w:val="hybridMultilevel"/>
    <w:tmpl w:val="D3E8EDA4"/>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5CC6"/>
    <w:multiLevelType w:val="hybridMultilevel"/>
    <w:tmpl w:val="D520CE1C"/>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805BD"/>
    <w:multiLevelType w:val="hybridMultilevel"/>
    <w:tmpl w:val="A952305E"/>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5310D"/>
    <w:multiLevelType w:val="hybridMultilevel"/>
    <w:tmpl w:val="0F62A1DE"/>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B6C28"/>
    <w:multiLevelType w:val="hybridMultilevel"/>
    <w:tmpl w:val="B53EB7F0"/>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710B0"/>
    <w:multiLevelType w:val="hybridMultilevel"/>
    <w:tmpl w:val="A5927C44"/>
    <w:lvl w:ilvl="0" w:tplc="CB82D68E">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943CD"/>
    <w:multiLevelType w:val="hybridMultilevel"/>
    <w:tmpl w:val="88464BE2"/>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46139"/>
    <w:multiLevelType w:val="hybridMultilevel"/>
    <w:tmpl w:val="30D0FC22"/>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096F3C"/>
    <w:multiLevelType w:val="hybridMultilevel"/>
    <w:tmpl w:val="F7CE2C02"/>
    <w:lvl w:ilvl="0" w:tplc="D4D204C6">
      <w:start w:val="1"/>
      <w:numFmt w:val="bullet"/>
      <w:pStyle w:val="BulletMIAX"/>
      <w:lvlText w:val=""/>
      <w:lvlJc w:val="left"/>
      <w:pPr>
        <w:ind w:left="360" w:hanging="216"/>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C20EE"/>
    <w:multiLevelType w:val="hybridMultilevel"/>
    <w:tmpl w:val="89C4B4EE"/>
    <w:lvl w:ilvl="0" w:tplc="82543A9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576E7"/>
    <w:multiLevelType w:val="hybridMultilevel"/>
    <w:tmpl w:val="48E270BC"/>
    <w:lvl w:ilvl="0" w:tplc="2AF45D78">
      <w:start w:val="1"/>
      <w:numFmt w:val="decimal"/>
      <w:lvlText w:val="%1."/>
      <w:lvlJc w:val="left"/>
      <w:pPr>
        <w:ind w:left="820" w:hanging="460"/>
      </w:pPr>
      <w:rPr>
        <w:rFonts w:hint="default"/>
        <w:sz w:val="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C256A"/>
    <w:multiLevelType w:val="hybridMultilevel"/>
    <w:tmpl w:val="3B080D8A"/>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7028C"/>
    <w:multiLevelType w:val="hybridMultilevel"/>
    <w:tmpl w:val="CE424936"/>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868FA"/>
    <w:multiLevelType w:val="hybridMultilevel"/>
    <w:tmpl w:val="015691B6"/>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B3F64"/>
    <w:multiLevelType w:val="hybridMultilevel"/>
    <w:tmpl w:val="24005D2C"/>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45305"/>
    <w:multiLevelType w:val="hybridMultilevel"/>
    <w:tmpl w:val="81ECC388"/>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B6997"/>
    <w:multiLevelType w:val="hybridMultilevel"/>
    <w:tmpl w:val="3A5AE592"/>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069E2"/>
    <w:multiLevelType w:val="hybridMultilevel"/>
    <w:tmpl w:val="DD3CF092"/>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C74B6"/>
    <w:multiLevelType w:val="hybridMultilevel"/>
    <w:tmpl w:val="747878CE"/>
    <w:lvl w:ilvl="0" w:tplc="1316B15C">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B7197"/>
    <w:multiLevelType w:val="hybridMultilevel"/>
    <w:tmpl w:val="F64A2CDC"/>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304F5"/>
    <w:multiLevelType w:val="hybridMultilevel"/>
    <w:tmpl w:val="BAB68BC8"/>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732E2"/>
    <w:multiLevelType w:val="hybridMultilevel"/>
    <w:tmpl w:val="9048AC98"/>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932A97"/>
    <w:multiLevelType w:val="hybridMultilevel"/>
    <w:tmpl w:val="3ECEDA4C"/>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66BAD"/>
    <w:multiLevelType w:val="hybridMultilevel"/>
    <w:tmpl w:val="11B6C8EA"/>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4356D6"/>
    <w:multiLevelType w:val="hybridMultilevel"/>
    <w:tmpl w:val="13645BA2"/>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31E77"/>
    <w:multiLevelType w:val="hybridMultilevel"/>
    <w:tmpl w:val="C76E6EF0"/>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C0605"/>
    <w:multiLevelType w:val="hybridMultilevel"/>
    <w:tmpl w:val="21FC0382"/>
    <w:lvl w:ilvl="0" w:tplc="CB82D68E">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E20EB"/>
    <w:multiLevelType w:val="hybridMultilevel"/>
    <w:tmpl w:val="2918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32BE4"/>
    <w:multiLevelType w:val="hybridMultilevel"/>
    <w:tmpl w:val="DAE04FD6"/>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6B3D32"/>
    <w:multiLevelType w:val="hybridMultilevel"/>
    <w:tmpl w:val="1F3EFC42"/>
    <w:lvl w:ilvl="0" w:tplc="CB82D68E">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C3C6A"/>
    <w:multiLevelType w:val="hybridMultilevel"/>
    <w:tmpl w:val="F96E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C73568"/>
    <w:multiLevelType w:val="hybridMultilevel"/>
    <w:tmpl w:val="1ED8AE1A"/>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D105A"/>
    <w:multiLevelType w:val="hybridMultilevel"/>
    <w:tmpl w:val="A4C6C2EA"/>
    <w:lvl w:ilvl="0" w:tplc="63D8C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EC6465"/>
    <w:multiLevelType w:val="hybridMultilevel"/>
    <w:tmpl w:val="DDEA13BE"/>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3009D1"/>
    <w:multiLevelType w:val="hybridMultilevel"/>
    <w:tmpl w:val="8E804CF2"/>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667548"/>
    <w:multiLevelType w:val="hybridMultilevel"/>
    <w:tmpl w:val="207486A6"/>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A723DD"/>
    <w:multiLevelType w:val="hybridMultilevel"/>
    <w:tmpl w:val="FC249E0E"/>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40238E"/>
    <w:multiLevelType w:val="hybridMultilevel"/>
    <w:tmpl w:val="906C2038"/>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A02B21"/>
    <w:multiLevelType w:val="hybridMultilevel"/>
    <w:tmpl w:val="378C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D10177"/>
    <w:multiLevelType w:val="hybridMultilevel"/>
    <w:tmpl w:val="F8FCA82E"/>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B3040D"/>
    <w:multiLevelType w:val="hybridMultilevel"/>
    <w:tmpl w:val="185E298A"/>
    <w:lvl w:ilvl="0" w:tplc="CB82D68E">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BA0D3A"/>
    <w:multiLevelType w:val="hybridMultilevel"/>
    <w:tmpl w:val="3E70AF20"/>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F730F5"/>
    <w:multiLevelType w:val="hybridMultilevel"/>
    <w:tmpl w:val="B61E2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9446E8"/>
    <w:multiLevelType w:val="hybridMultilevel"/>
    <w:tmpl w:val="B554FE7C"/>
    <w:lvl w:ilvl="0" w:tplc="0DAA9D1C">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8B451D"/>
    <w:multiLevelType w:val="hybridMultilevel"/>
    <w:tmpl w:val="71868C8C"/>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A34E32"/>
    <w:multiLevelType w:val="hybridMultilevel"/>
    <w:tmpl w:val="2656139A"/>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913B39"/>
    <w:multiLevelType w:val="hybridMultilevel"/>
    <w:tmpl w:val="54E8DD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B33760"/>
    <w:multiLevelType w:val="hybridMultilevel"/>
    <w:tmpl w:val="4B0204D4"/>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3D3E62"/>
    <w:multiLevelType w:val="hybridMultilevel"/>
    <w:tmpl w:val="F05A42D4"/>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9C1625"/>
    <w:multiLevelType w:val="hybridMultilevel"/>
    <w:tmpl w:val="7D64E7B4"/>
    <w:lvl w:ilvl="0" w:tplc="CB82D68E">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9C0E0A"/>
    <w:multiLevelType w:val="hybridMultilevel"/>
    <w:tmpl w:val="865C03AA"/>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D02554"/>
    <w:multiLevelType w:val="hybridMultilevel"/>
    <w:tmpl w:val="9EACC33E"/>
    <w:lvl w:ilvl="0" w:tplc="1316B15C">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E8530E"/>
    <w:multiLevelType w:val="hybridMultilevel"/>
    <w:tmpl w:val="149A9A58"/>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7020E5"/>
    <w:multiLevelType w:val="hybridMultilevel"/>
    <w:tmpl w:val="65E6AF4E"/>
    <w:lvl w:ilvl="0" w:tplc="16A2A3E4">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744497"/>
    <w:multiLevelType w:val="hybridMultilevel"/>
    <w:tmpl w:val="3FAE81A2"/>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9D69BE"/>
    <w:multiLevelType w:val="hybridMultilevel"/>
    <w:tmpl w:val="EB66312E"/>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6F519F"/>
    <w:multiLevelType w:val="hybridMultilevel"/>
    <w:tmpl w:val="E9E82C28"/>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964FF8"/>
    <w:multiLevelType w:val="hybridMultilevel"/>
    <w:tmpl w:val="4EF46FE0"/>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9E63DF"/>
    <w:multiLevelType w:val="multilevel"/>
    <w:tmpl w:val="07967BDC"/>
    <w:lvl w:ilvl="0">
      <w:start w:val="1"/>
      <w:numFmt w:val="bullet"/>
      <w:lvlText w:val=""/>
      <w:lvlJc w:val="left"/>
      <w:pPr>
        <w:tabs>
          <w:tab w:val="num" w:pos="720"/>
        </w:tabs>
        <w:ind w:left="720" w:hanging="360"/>
      </w:pPr>
      <w:rPr>
        <w:rFonts w:ascii="Symbol" w:hAnsi="Symbol" w:hint="default"/>
        <w:sz w:val="20"/>
        <w:u w:val="no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AF23B7"/>
    <w:multiLevelType w:val="hybridMultilevel"/>
    <w:tmpl w:val="A5342ACE"/>
    <w:lvl w:ilvl="0" w:tplc="CB82D68E">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220EF3"/>
    <w:multiLevelType w:val="hybridMultilevel"/>
    <w:tmpl w:val="AFC0D3DE"/>
    <w:lvl w:ilvl="0" w:tplc="CB82D68E">
      <w:start w:val="1"/>
      <w:numFmt w:val="bullet"/>
      <w:lvlText w:val=""/>
      <w:lvlJc w:val="left"/>
      <w:pPr>
        <w:ind w:left="648" w:hanging="288"/>
      </w:pPr>
      <w:rPr>
        <w:rFonts w:ascii="Symbol" w:hAnsi="Symbol" w:hint="default"/>
        <w:color w:val="F15841"/>
      </w:rPr>
    </w:lvl>
    <w:lvl w:ilvl="1" w:tplc="8F064F7E">
      <w:start w:val="1"/>
      <w:numFmt w:val="bullet"/>
      <w:lvlText w:val="o"/>
      <w:lvlJc w:val="left"/>
      <w:pPr>
        <w:ind w:left="1440" w:hanging="360"/>
      </w:pPr>
      <w:rPr>
        <w:rFonts w:ascii="Courier New" w:hAnsi="Courier New" w:cs="Courier New" w:hint="default"/>
        <w:color w:val="41404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FC2B95"/>
    <w:multiLevelType w:val="hybridMultilevel"/>
    <w:tmpl w:val="6130D9A8"/>
    <w:lvl w:ilvl="0" w:tplc="CB82D68E">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9"/>
  </w:num>
  <w:num w:numId="4">
    <w:abstractNumId w:val="40"/>
  </w:num>
  <w:num w:numId="5">
    <w:abstractNumId w:val="44"/>
  </w:num>
  <w:num w:numId="6">
    <w:abstractNumId w:val="30"/>
  </w:num>
  <w:num w:numId="7">
    <w:abstractNumId w:val="48"/>
  </w:num>
  <w:num w:numId="8">
    <w:abstractNumId w:val="62"/>
  </w:num>
  <w:num w:numId="9">
    <w:abstractNumId w:val="61"/>
  </w:num>
  <w:num w:numId="10">
    <w:abstractNumId w:val="63"/>
  </w:num>
  <w:num w:numId="11">
    <w:abstractNumId w:val="28"/>
  </w:num>
  <w:num w:numId="12">
    <w:abstractNumId w:val="31"/>
  </w:num>
  <w:num w:numId="13">
    <w:abstractNumId w:val="51"/>
  </w:num>
  <w:num w:numId="14">
    <w:abstractNumId w:val="7"/>
  </w:num>
  <w:num w:numId="15">
    <w:abstractNumId w:val="42"/>
  </w:num>
  <w:num w:numId="16">
    <w:abstractNumId w:val="45"/>
  </w:num>
  <w:num w:numId="17">
    <w:abstractNumId w:val="20"/>
  </w:num>
  <w:num w:numId="18">
    <w:abstractNumId w:val="53"/>
  </w:num>
  <w:num w:numId="19">
    <w:abstractNumId w:val="41"/>
  </w:num>
  <w:num w:numId="20">
    <w:abstractNumId w:val="46"/>
  </w:num>
  <w:num w:numId="21">
    <w:abstractNumId w:val="14"/>
  </w:num>
  <w:num w:numId="22">
    <w:abstractNumId w:val="1"/>
  </w:num>
  <w:num w:numId="23">
    <w:abstractNumId w:val="26"/>
  </w:num>
  <w:num w:numId="24">
    <w:abstractNumId w:val="58"/>
  </w:num>
  <w:num w:numId="25">
    <w:abstractNumId w:val="38"/>
  </w:num>
  <w:num w:numId="26">
    <w:abstractNumId w:val="2"/>
  </w:num>
  <w:num w:numId="27">
    <w:abstractNumId w:val="4"/>
  </w:num>
  <w:num w:numId="28">
    <w:abstractNumId w:val="25"/>
  </w:num>
  <w:num w:numId="29">
    <w:abstractNumId w:val="16"/>
  </w:num>
  <w:num w:numId="30">
    <w:abstractNumId w:val="36"/>
  </w:num>
  <w:num w:numId="31">
    <w:abstractNumId w:val="18"/>
  </w:num>
  <w:num w:numId="32">
    <w:abstractNumId w:val="21"/>
  </w:num>
  <w:num w:numId="33">
    <w:abstractNumId w:val="15"/>
  </w:num>
  <w:num w:numId="34">
    <w:abstractNumId w:val="57"/>
  </w:num>
  <w:num w:numId="35">
    <w:abstractNumId w:val="54"/>
  </w:num>
  <w:num w:numId="36">
    <w:abstractNumId w:val="50"/>
  </w:num>
  <w:num w:numId="37">
    <w:abstractNumId w:val="6"/>
  </w:num>
  <w:num w:numId="38">
    <w:abstractNumId w:val="13"/>
  </w:num>
  <w:num w:numId="39">
    <w:abstractNumId w:val="37"/>
  </w:num>
  <w:num w:numId="40">
    <w:abstractNumId w:val="52"/>
  </w:num>
  <w:num w:numId="41">
    <w:abstractNumId w:val="19"/>
  </w:num>
  <w:num w:numId="42">
    <w:abstractNumId w:val="39"/>
  </w:num>
  <w:num w:numId="43">
    <w:abstractNumId w:val="24"/>
  </w:num>
  <w:num w:numId="44">
    <w:abstractNumId w:val="17"/>
  </w:num>
  <w:num w:numId="45">
    <w:abstractNumId w:val="8"/>
  </w:num>
  <w:num w:numId="46">
    <w:abstractNumId w:val="5"/>
  </w:num>
  <w:num w:numId="47">
    <w:abstractNumId w:val="35"/>
  </w:num>
  <w:num w:numId="48">
    <w:abstractNumId w:val="56"/>
  </w:num>
  <w:num w:numId="49">
    <w:abstractNumId w:val="49"/>
  </w:num>
  <w:num w:numId="50">
    <w:abstractNumId w:val="33"/>
  </w:num>
  <w:num w:numId="51">
    <w:abstractNumId w:val="59"/>
  </w:num>
  <w:num w:numId="52">
    <w:abstractNumId w:val="23"/>
  </w:num>
  <w:num w:numId="53">
    <w:abstractNumId w:val="43"/>
  </w:num>
  <w:num w:numId="54">
    <w:abstractNumId w:val="3"/>
  </w:num>
  <w:num w:numId="55">
    <w:abstractNumId w:val="47"/>
  </w:num>
  <w:num w:numId="56">
    <w:abstractNumId w:val="22"/>
  </w:num>
  <w:num w:numId="57">
    <w:abstractNumId w:val="9"/>
  </w:num>
  <w:num w:numId="58">
    <w:abstractNumId w:val="11"/>
  </w:num>
  <w:num w:numId="59">
    <w:abstractNumId w:val="55"/>
  </w:num>
  <w:num w:numId="60">
    <w:abstractNumId w:val="27"/>
  </w:num>
  <w:num w:numId="61">
    <w:abstractNumId w:val="12"/>
  </w:num>
  <w:num w:numId="62">
    <w:abstractNumId w:val="34"/>
  </w:num>
  <w:num w:numId="63">
    <w:abstractNumId w:val="32"/>
  </w:num>
  <w:num w:numId="64">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FD"/>
    <w:rsid w:val="000045C3"/>
    <w:rsid w:val="0001140F"/>
    <w:rsid w:val="00011549"/>
    <w:rsid w:val="00022AAD"/>
    <w:rsid w:val="00026904"/>
    <w:rsid w:val="00040F20"/>
    <w:rsid w:val="000555AC"/>
    <w:rsid w:val="000627F9"/>
    <w:rsid w:val="0007312B"/>
    <w:rsid w:val="00074ED4"/>
    <w:rsid w:val="00075185"/>
    <w:rsid w:val="00080329"/>
    <w:rsid w:val="00084DA8"/>
    <w:rsid w:val="00092689"/>
    <w:rsid w:val="000A1F16"/>
    <w:rsid w:val="000C5010"/>
    <w:rsid w:val="000C7B8C"/>
    <w:rsid w:val="000D13CC"/>
    <w:rsid w:val="000D22CF"/>
    <w:rsid w:val="000D3995"/>
    <w:rsid w:val="000E4013"/>
    <w:rsid w:val="000F2894"/>
    <w:rsid w:val="000F44B9"/>
    <w:rsid w:val="00101B86"/>
    <w:rsid w:val="00113D0A"/>
    <w:rsid w:val="001158A9"/>
    <w:rsid w:val="001171B4"/>
    <w:rsid w:val="00130403"/>
    <w:rsid w:val="0013070D"/>
    <w:rsid w:val="00130D45"/>
    <w:rsid w:val="001372CA"/>
    <w:rsid w:val="00140280"/>
    <w:rsid w:val="00146BD9"/>
    <w:rsid w:val="001514FD"/>
    <w:rsid w:val="0015479D"/>
    <w:rsid w:val="00161E3C"/>
    <w:rsid w:val="00164544"/>
    <w:rsid w:val="001A0B63"/>
    <w:rsid w:val="001A396F"/>
    <w:rsid w:val="001B0E9E"/>
    <w:rsid w:val="001B396B"/>
    <w:rsid w:val="001B4299"/>
    <w:rsid w:val="001B4FFE"/>
    <w:rsid w:val="001C35FD"/>
    <w:rsid w:val="001C487C"/>
    <w:rsid w:val="001C6331"/>
    <w:rsid w:val="001C7BAC"/>
    <w:rsid w:val="001D0F72"/>
    <w:rsid w:val="001D34C6"/>
    <w:rsid w:val="001E154E"/>
    <w:rsid w:val="001E7980"/>
    <w:rsid w:val="001E7E8D"/>
    <w:rsid w:val="001F2CE7"/>
    <w:rsid w:val="001F783D"/>
    <w:rsid w:val="002049CE"/>
    <w:rsid w:val="00211F5D"/>
    <w:rsid w:val="00217EA4"/>
    <w:rsid w:val="00220017"/>
    <w:rsid w:val="00220203"/>
    <w:rsid w:val="00221CC8"/>
    <w:rsid w:val="00234341"/>
    <w:rsid w:val="002405C0"/>
    <w:rsid w:val="00242938"/>
    <w:rsid w:val="00253BC9"/>
    <w:rsid w:val="00256FD4"/>
    <w:rsid w:val="00264E8C"/>
    <w:rsid w:val="00285B27"/>
    <w:rsid w:val="00287307"/>
    <w:rsid w:val="00293868"/>
    <w:rsid w:val="002A3F38"/>
    <w:rsid w:val="002A7D04"/>
    <w:rsid w:val="002B2DF9"/>
    <w:rsid w:val="002C5AE4"/>
    <w:rsid w:val="002C79C5"/>
    <w:rsid w:val="002D3D22"/>
    <w:rsid w:val="002D580E"/>
    <w:rsid w:val="002E2654"/>
    <w:rsid w:val="002E2F9A"/>
    <w:rsid w:val="002E3A33"/>
    <w:rsid w:val="002E7BE7"/>
    <w:rsid w:val="002F15C9"/>
    <w:rsid w:val="00304C5B"/>
    <w:rsid w:val="003067D9"/>
    <w:rsid w:val="00320F85"/>
    <w:rsid w:val="00332A37"/>
    <w:rsid w:val="003367FE"/>
    <w:rsid w:val="00341157"/>
    <w:rsid w:val="003440C5"/>
    <w:rsid w:val="0035016C"/>
    <w:rsid w:val="003510D0"/>
    <w:rsid w:val="003511AD"/>
    <w:rsid w:val="003564EE"/>
    <w:rsid w:val="00362968"/>
    <w:rsid w:val="00372EDD"/>
    <w:rsid w:val="00380435"/>
    <w:rsid w:val="00384140"/>
    <w:rsid w:val="00384CA6"/>
    <w:rsid w:val="00387A5F"/>
    <w:rsid w:val="00396A4F"/>
    <w:rsid w:val="003A01B5"/>
    <w:rsid w:val="003A11A9"/>
    <w:rsid w:val="003A5BB9"/>
    <w:rsid w:val="003B330F"/>
    <w:rsid w:val="003C0621"/>
    <w:rsid w:val="003C376C"/>
    <w:rsid w:val="003C6313"/>
    <w:rsid w:val="003C72E2"/>
    <w:rsid w:val="003C7E60"/>
    <w:rsid w:val="003D0E78"/>
    <w:rsid w:val="003E006E"/>
    <w:rsid w:val="003E2985"/>
    <w:rsid w:val="003F1E2A"/>
    <w:rsid w:val="003F30B4"/>
    <w:rsid w:val="00423471"/>
    <w:rsid w:val="00427602"/>
    <w:rsid w:val="00441349"/>
    <w:rsid w:val="00447924"/>
    <w:rsid w:val="00455611"/>
    <w:rsid w:val="004626B4"/>
    <w:rsid w:val="00463954"/>
    <w:rsid w:val="00480245"/>
    <w:rsid w:val="00482F5A"/>
    <w:rsid w:val="00483606"/>
    <w:rsid w:val="0049344B"/>
    <w:rsid w:val="00494528"/>
    <w:rsid w:val="004A6B4E"/>
    <w:rsid w:val="004B5931"/>
    <w:rsid w:val="004C7C90"/>
    <w:rsid w:val="004D063D"/>
    <w:rsid w:val="004D1C30"/>
    <w:rsid w:val="004D4F6C"/>
    <w:rsid w:val="004E6823"/>
    <w:rsid w:val="004F07A0"/>
    <w:rsid w:val="004F28D6"/>
    <w:rsid w:val="004F5800"/>
    <w:rsid w:val="00500796"/>
    <w:rsid w:val="005102F0"/>
    <w:rsid w:val="00513BDF"/>
    <w:rsid w:val="00514A95"/>
    <w:rsid w:val="0051549A"/>
    <w:rsid w:val="0052028B"/>
    <w:rsid w:val="005207EF"/>
    <w:rsid w:val="00526092"/>
    <w:rsid w:val="005472E0"/>
    <w:rsid w:val="00550CDE"/>
    <w:rsid w:val="005565A7"/>
    <w:rsid w:val="00560A0F"/>
    <w:rsid w:val="00580936"/>
    <w:rsid w:val="00580EFF"/>
    <w:rsid w:val="00590333"/>
    <w:rsid w:val="00594FBC"/>
    <w:rsid w:val="005968B5"/>
    <w:rsid w:val="0059745A"/>
    <w:rsid w:val="0059747D"/>
    <w:rsid w:val="005A0645"/>
    <w:rsid w:val="005A57FA"/>
    <w:rsid w:val="005C10F8"/>
    <w:rsid w:val="005C173D"/>
    <w:rsid w:val="005C1E2A"/>
    <w:rsid w:val="005C22F6"/>
    <w:rsid w:val="005C2BCE"/>
    <w:rsid w:val="005D16CF"/>
    <w:rsid w:val="005D420D"/>
    <w:rsid w:val="005E1960"/>
    <w:rsid w:val="005F01D6"/>
    <w:rsid w:val="005F0C6C"/>
    <w:rsid w:val="005F0E8F"/>
    <w:rsid w:val="005F3A26"/>
    <w:rsid w:val="00603007"/>
    <w:rsid w:val="00613F5C"/>
    <w:rsid w:val="006271CF"/>
    <w:rsid w:val="00635479"/>
    <w:rsid w:val="00643A05"/>
    <w:rsid w:val="006446A8"/>
    <w:rsid w:val="00644EEB"/>
    <w:rsid w:val="006506EE"/>
    <w:rsid w:val="00655F12"/>
    <w:rsid w:val="00656E0E"/>
    <w:rsid w:val="006678D5"/>
    <w:rsid w:val="00683800"/>
    <w:rsid w:val="00684E9F"/>
    <w:rsid w:val="00685870"/>
    <w:rsid w:val="00685E66"/>
    <w:rsid w:val="0069148D"/>
    <w:rsid w:val="006A6CEA"/>
    <w:rsid w:val="006B032E"/>
    <w:rsid w:val="006C065B"/>
    <w:rsid w:val="006C0C08"/>
    <w:rsid w:val="006C214E"/>
    <w:rsid w:val="006D1202"/>
    <w:rsid w:val="006D20E2"/>
    <w:rsid w:val="006D4AE9"/>
    <w:rsid w:val="006E1BB0"/>
    <w:rsid w:val="006E24B7"/>
    <w:rsid w:val="006E267B"/>
    <w:rsid w:val="006E3548"/>
    <w:rsid w:val="006E380B"/>
    <w:rsid w:val="006E3CE3"/>
    <w:rsid w:val="006E3DFD"/>
    <w:rsid w:val="006E4BD7"/>
    <w:rsid w:val="00706EC0"/>
    <w:rsid w:val="007111F0"/>
    <w:rsid w:val="007165C1"/>
    <w:rsid w:val="007206A0"/>
    <w:rsid w:val="00720A70"/>
    <w:rsid w:val="0072615B"/>
    <w:rsid w:val="00733C08"/>
    <w:rsid w:val="00734DD9"/>
    <w:rsid w:val="00735B0D"/>
    <w:rsid w:val="007377D0"/>
    <w:rsid w:val="007419DB"/>
    <w:rsid w:val="007420BA"/>
    <w:rsid w:val="0074270C"/>
    <w:rsid w:val="00742803"/>
    <w:rsid w:val="0074289E"/>
    <w:rsid w:val="00743D8B"/>
    <w:rsid w:val="00745D90"/>
    <w:rsid w:val="0074785F"/>
    <w:rsid w:val="007516AD"/>
    <w:rsid w:val="00757AF3"/>
    <w:rsid w:val="00765758"/>
    <w:rsid w:val="00781BDA"/>
    <w:rsid w:val="00783383"/>
    <w:rsid w:val="00795815"/>
    <w:rsid w:val="007A50ED"/>
    <w:rsid w:val="007A52EF"/>
    <w:rsid w:val="007A63F9"/>
    <w:rsid w:val="007B06FB"/>
    <w:rsid w:val="007C09F0"/>
    <w:rsid w:val="007C4898"/>
    <w:rsid w:val="007C6A03"/>
    <w:rsid w:val="007D3EEA"/>
    <w:rsid w:val="007D49AF"/>
    <w:rsid w:val="007D4B41"/>
    <w:rsid w:val="007D669E"/>
    <w:rsid w:val="007E1993"/>
    <w:rsid w:val="007E3120"/>
    <w:rsid w:val="007E3EB2"/>
    <w:rsid w:val="007E7CCD"/>
    <w:rsid w:val="007F2AE7"/>
    <w:rsid w:val="007F69A8"/>
    <w:rsid w:val="00807789"/>
    <w:rsid w:val="008133AE"/>
    <w:rsid w:val="00821A9D"/>
    <w:rsid w:val="00823852"/>
    <w:rsid w:val="00825FA6"/>
    <w:rsid w:val="008273CC"/>
    <w:rsid w:val="00836158"/>
    <w:rsid w:val="00836487"/>
    <w:rsid w:val="00836B7B"/>
    <w:rsid w:val="008416F1"/>
    <w:rsid w:val="00851981"/>
    <w:rsid w:val="00855F32"/>
    <w:rsid w:val="008565D1"/>
    <w:rsid w:val="00857B05"/>
    <w:rsid w:val="00867DBF"/>
    <w:rsid w:val="00870335"/>
    <w:rsid w:val="008728BE"/>
    <w:rsid w:val="008730EC"/>
    <w:rsid w:val="00873C12"/>
    <w:rsid w:val="00873E84"/>
    <w:rsid w:val="00887CD1"/>
    <w:rsid w:val="00890846"/>
    <w:rsid w:val="008912CC"/>
    <w:rsid w:val="008934E2"/>
    <w:rsid w:val="00894B40"/>
    <w:rsid w:val="008A0BB6"/>
    <w:rsid w:val="008A3D57"/>
    <w:rsid w:val="008B0607"/>
    <w:rsid w:val="008B2678"/>
    <w:rsid w:val="008B7965"/>
    <w:rsid w:val="008C21A4"/>
    <w:rsid w:val="008C2B89"/>
    <w:rsid w:val="008C6031"/>
    <w:rsid w:val="008C7330"/>
    <w:rsid w:val="008C7874"/>
    <w:rsid w:val="008D0E53"/>
    <w:rsid w:val="008D1633"/>
    <w:rsid w:val="008D6826"/>
    <w:rsid w:val="008E1272"/>
    <w:rsid w:val="008E4AAD"/>
    <w:rsid w:val="008E5AE6"/>
    <w:rsid w:val="008F7EA2"/>
    <w:rsid w:val="00906B05"/>
    <w:rsid w:val="00906B99"/>
    <w:rsid w:val="00913EBC"/>
    <w:rsid w:val="0091480D"/>
    <w:rsid w:val="00917FDF"/>
    <w:rsid w:val="009231BD"/>
    <w:rsid w:val="00932F02"/>
    <w:rsid w:val="00934CF7"/>
    <w:rsid w:val="00935680"/>
    <w:rsid w:val="00942ADB"/>
    <w:rsid w:val="009502C1"/>
    <w:rsid w:val="00953634"/>
    <w:rsid w:val="00954482"/>
    <w:rsid w:val="00954605"/>
    <w:rsid w:val="009577FA"/>
    <w:rsid w:val="00963CC4"/>
    <w:rsid w:val="00970072"/>
    <w:rsid w:val="009748AD"/>
    <w:rsid w:val="009752FB"/>
    <w:rsid w:val="0097628E"/>
    <w:rsid w:val="00977492"/>
    <w:rsid w:val="00982425"/>
    <w:rsid w:val="009842BD"/>
    <w:rsid w:val="00992391"/>
    <w:rsid w:val="00992CEA"/>
    <w:rsid w:val="009A7638"/>
    <w:rsid w:val="009B0991"/>
    <w:rsid w:val="009C5AA9"/>
    <w:rsid w:val="009D7B2C"/>
    <w:rsid w:val="00A00D43"/>
    <w:rsid w:val="00A14FDA"/>
    <w:rsid w:val="00A22A6F"/>
    <w:rsid w:val="00A23AFD"/>
    <w:rsid w:val="00A25F68"/>
    <w:rsid w:val="00A263F7"/>
    <w:rsid w:val="00A30DD6"/>
    <w:rsid w:val="00A44550"/>
    <w:rsid w:val="00A54023"/>
    <w:rsid w:val="00A674E8"/>
    <w:rsid w:val="00A71C1E"/>
    <w:rsid w:val="00A743EB"/>
    <w:rsid w:val="00A76081"/>
    <w:rsid w:val="00A8125E"/>
    <w:rsid w:val="00A90ED0"/>
    <w:rsid w:val="00A9199E"/>
    <w:rsid w:val="00AA0A22"/>
    <w:rsid w:val="00AA346C"/>
    <w:rsid w:val="00AA4A5C"/>
    <w:rsid w:val="00AA56E2"/>
    <w:rsid w:val="00AB42AD"/>
    <w:rsid w:val="00AB57DA"/>
    <w:rsid w:val="00AC0B5B"/>
    <w:rsid w:val="00AC0D8D"/>
    <w:rsid w:val="00AC349A"/>
    <w:rsid w:val="00AC4451"/>
    <w:rsid w:val="00AC7135"/>
    <w:rsid w:val="00AD1DF6"/>
    <w:rsid w:val="00AD6A87"/>
    <w:rsid w:val="00AE2C2F"/>
    <w:rsid w:val="00AE304D"/>
    <w:rsid w:val="00AE613A"/>
    <w:rsid w:val="00AF386E"/>
    <w:rsid w:val="00AF5024"/>
    <w:rsid w:val="00B01B31"/>
    <w:rsid w:val="00B01E64"/>
    <w:rsid w:val="00B02A54"/>
    <w:rsid w:val="00B11A32"/>
    <w:rsid w:val="00B2705B"/>
    <w:rsid w:val="00B3126E"/>
    <w:rsid w:val="00B37378"/>
    <w:rsid w:val="00B37BD4"/>
    <w:rsid w:val="00B4179E"/>
    <w:rsid w:val="00B77198"/>
    <w:rsid w:val="00B80319"/>
    <w:rsid w:val="00B805D6"/>
    <w:rsid w:val="00B84927"/>
    <w:rsid w:val="00B90999"/>
    <w:rsid w:val="00B978E3"/>
    <w:rsid w:val="00BB490D"/>
    <w:rsid w:val="00BC0A66"/>
    <w:rsid w:val="00BC7A83"/>
    <w:rsid w:val="00BD058A"/>
    <w:rsid w:val="00BD1115"/>
    <w:rsid w:val="00BE353B"/>
    <w:rsid w:val="00BE3DF2"/>
    <w:rsid w:val="00BE4F73"/>
    <w:rsid w:val="00BE5CFF"/>
    <w:rsid w:val="00BE6497"/>
    <w:rsid w:val="00BF6208"/>
    <w:rsid w:val="00C068C9"/>
    <w:rsid w:val="00C10824"/>
    <w:rsid w:val="00C14C57"/>
    <w:rsid w:val="00C14F6A"/>
    <w:rsid w:val="00C265A5"/>
    <w:rsid w:val="00C3157B"/>
    <w:rsid w:val="00C32E37"/>
    <w:rsid w:val="00C44CFF"/>
    <w:rsid w:val="00C46F3D"/>
    <w:rsid w:val="00C50DC9"/>
    <w:rsid w:val="00C56421"/>
    <w:rsid w:val="00C5778A"/>
    <w:rsid w:val="00C74BE5"/>
    <w:rsid w:val="00C82314"/>
    <w:rsid w:val="00C9243B"/>
    <w:rsid w:val="00C956C7"/>
    <w:rsid w:val="00CA3A21"/>
    <w:rsid w:val="00CA4FF0"/>
    <w:rsid w:val="00CB1FF9"/>
    <w:rsid w:val="00CB7408"/>
    <w:rsid w:val="00CB7851"/>
    <w:rsid w:val="00CC058D"/>
    <w:rsid w:val="00CC2B7F"/>
    <w:rsid w:val="00CD1FFC"/>
    <w:rsid w:val="00CE1565"/>
    <w:rsid w:val="00CE6C7C"/>
    <w:rsid w:val="00CE6E7E"/>
    <w:rsid w:val="00CF0D62"/>
    <w:rsid w:val="00CF3DA6"/>
    <w:rsid w:val="00D02C87"/>
    <w:rsid w:val="00D03D2D"/>
    <w:rsid w:val="00D0468A"/>
    <w:rsid w:val="00D07CDC"/>
    <w:rsid w:val="00D22F40"/>
    <w:rsid w:val="00D230C1"/>
    <w:rsid w:val="00D23FFB"/>
    <w:rsid w:val="00D27780"/>
    <w:rsid w:val="00D4796E"/>
    <w:rsid w:val="00D527A0"/>
    <w:rsid w:val="00D70050"/>
    <w:rsid w:val="00D75521"/>
    <w:rsid w:val="00D80528"/>
    <w:rsid w:val="00D84E22"/>
    <w:rsid w:val="00D90B97"/>
    <w:rsid w:val="00D928C6"/>
    <w:rsid w:val="00D954E5"/>
    <w:rsid w:val="00D96D42"/>
    <w:rsid w:val="00DA0E69"/>
    <w:rsid w:val="00DA151D"/>
    <w:rsid w:val="00DA2623"/>
    <w:rsid w:val="00DA2BAD"/>
    <w:rsid w:val="00DB5734"/>
    <w:rsid w:val="00DC24D8"/>
    <w:rsid w:val="00DC3246"/>
    <w:rsid w:val="00DD1F9A"/>
    <w:rsid w:val="00DD2ED3"/>
    <w:rsid w:val="00DD3615"/>
    <w:rsid w:val="00DD7DDB"/>
    <w:rsid w:val="00DE1048"/>
    <w:rsid w:val="00DE1461"/>
    <w:rsid w:val="00DE2CA8"/>
    <w:rsid w:val="00DF1C5E"/>
    <w:rsid w:val="00DF2271"/>
    <w:rsid w:val="00DF5BEC"/>
    <w:rsid w:val="00DF67E5"/>
    <w:rsid w:val="00E028A9"/>
    <w:rsid w:val="00E2077A"/>
    <w:rsid w:val="00E25D48"/>
    <w:rsid w:val="00E315C2"/>
    <w:rsid w:val="00E35D77"/>
    <w:rsid w:val="00E44AE0"/>
    <w:rsid w:val="00E617A5"/>
    <w:rsid w:val="00E731F1"/>
    <w:rsid w:val="00E73476"/>
    <w:rsid w:val="00E83AE1"/>
    <w:rsid w:val="00E83DFE"/>
    <w:rsid w:val="00E931E8"/>
    <w:rsid w:val="00EA1527"/>
    <w:rsid w:val="00EA4680"/>
    <w:rsid w:val="00EA7F06"/>
    <w:rsid w:val="00EB1F0A"/>
    <w:rsid w:val="00EB2F9D"/>
    <w:rsid w:val="00EB6CE6"/>
    <w:rsid w:val="00EC25E1"/>
    <w:rsid w:val="00ED0FE5"/>
    <w:rsid w:val="00EE07C3"/>
    <w:rsid w:val="00EE532E"/>
    <w:rsid w:val="00EF22BF"/>
    <w:rsid w:val="00EF6BA3"/>
    <w:rsid w:val="00EF7A90"/>
    <w:rsid w:val="00F11201"/>
    <w:rsid w:val="00F1128B"/>
    <w:rsid w:val="00F12917"/>
    <w:rsid w:val="00F14257"/>
    <w:rsid w:val="00F14936"/>
    <w:rsid w:val="00F15342"/>
    <w:rsid w:val="00F253AC"/>
    <w:rsid w:val="00F31B20"/>
    <w:rsid w:val="00F375E2"/>
    <w:rsid w:val="00F46BA7"/>
    <w:rsid w:val="00F570D5"/>
    <w:rsid w:val="00F64A19"/>
    <w:rsid w:val="00F7626A"/>
    <w:rsid w:val="00F81425"/>
    <w:rsid w:val="00F819F5"/>
    <w:rsid w:val="00F81CCC"/>
    <w:rsid w:val="00F835BD"/>
    <w:rsid w:val="00F932A7"/>
    <w:rsid w:val="00F97127"/>
    <w:rsid w:val="00FA1870"/>
    <w:rsid w:val="00FC02F1"/>
    <w:rsid w:val="00FC1106"/>
    <w:rsid w:val="00FC5A1C"/>
    <w:rsid w:val="00FC6F90"/>
    <w:rsid w:val="00FC7F5D"/>
    <w:rsid w:val="00FD3EFE"/>
    <w:rsid w:val="00FD5D9A"/>
    <w:rsid w:val="00FE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DBF5906"/>
  <w14:defaultImageDpi w14:val="32767"/>
  <w15:chartTrackingRefBased/>
  <w15:docId w15:val="{263522EC-6A8A-5A4A-86CB-7719CF7E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EBC"/>
    <w:rPr>
      <w:rFonts w:ascii="Arial" w:eastAsia="Times New Roman" w:hAnsi="Arial"/>
      <w:sz w:val="24"/>
      <w:szCs w:val="24"/>
    </w:rPr>
  </w:style>
  <w:style w:type="paragraph" w:styleId="Heading1">
    <w:name w:val="heading 1"/>
    <w:basedOn w:val="SectionHeadersMIAX"/>
    <w:link w:val="Heading1Char"/>
    <w:uiPriority w:val="9"/>
    <w:qFormat/>
    <w:rsid w:val="004B5931"/>
    <w:pPr>
      <w:spacing w:before="120"/>
      <w:outlineLvl w:val="0"/>
    </w:pPr>
    <w:rPr>
      <w:color w:val="F05720" w:themeColor="background2"/>
    </w:rPr>
  </w:style>
  <w:style w:type="paragraph" w:styleId="Heading2">
    <w:name w:val="heading 2"/>
    <w:basedOn w:val="BODYMIAX"/>
    <w:next w:val="Normal"/>
    <w:link w:val="Heading2Char"/>
    <w:uiPriority w:val="9"/>
    <w:unhideWhenUsed/>
    <w:qFormat/>
    <w:rsid w:val="00092689"/>
    <w:pPr>
      <w:outlineLvl w:val="1"/>
    </w:pPr>
    <w:rPr>
      <w:color w:val="F05720" w:themeColor="background2"/>
      <w:sz w:val="26"/>
      <w:szCs w:val="26"/>
    </w:rPr>
  </w:style>
  <w:style w:type="paragraph" w:styleId="Heading3">
    <w:name w:val="heading 3"/>
    <w:basedOn w:val="BODYMIAX"/>
    <w:next w:val="Normal"/>
    <w:link w:val="Heading3Char"/>
    <w:uiPriority w:val="9"/>
    <w:unhideWhenUsed/>
    <w:qFormat/>
    <w:rsid w:val="00092689"/>
    <w:pPr>
      <w:outlineLvl w:val="2"/>
    </w:pPr>
    <w:rPr>
      <w:b/>
      <w:bCs/>
      <w:sz w:val="22"/>
      <w:szCs w:val="22"/>
    </w:rPr>
  </w:style>
  <w:style w:type="paragraph" w:styleId="Heading4">
    <w:name w:val="heading 4"/>
    <w:basedOn w:val="BODYMIAX"/>
    <w:next w:val="Normal"/>
    <w:link w:val="Heading4Char"/>
    <w:uiPriority w:val="9"/>
    <w:unhideWhenUsed/>
    <w:qFormat/>
    <w:rsid w:val="00092689"/>
    <w:pPr>
      <w:outlineLvl w:val="3"/>
    </w:pPr>
    <w:rPr>
      <w:b/>
      <w:bCs/>
      <w:i/>
      <w:iCs/>
    </w:rPr>
  </w:style>
  <w:style w:type="paragraph" w:styleId="Heading5">
    <w:name w:val="heading 5"/>
    <w:basedOn w:val="Normal"/>
    <w:next w:val="Normal"/>
    <w:link w:val="Heading5Char"/>
    <w:uiPriority w:val="9"/>
    <w:semiHidden/>
    <w:unhideWhenUsed/>
    <w:qFormat/>
    <w:rsid w:val="00913EBC"/>
    <w:pPr>
      <w:keepNext/>
      <w:keepLines/>
      <w:spacing w:before="40"/>
      <w:outlineLvl w:val="4"/>
    </w:pPr>
    <w:rPr>
      <w:rFonts w:eastAsiaTheme="majorEastAsia" w:cstheme="majorBidi"/>
      <w:color w:val="13131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FootnoteMIAX">
    <w:name w:val="Chart Footnote_MIAX"/>
    <w:basedOn w:val="Normal"/>
    <w:qFormat/>
    <w:rsid w:val="00913EBC"/>
    <w:rPr>
      <w:i/>
      <w:iCs/>
      <w:color w:val="808080"/>
      <w:sz w:val="16"/>
      <w:szCs w:val="16"/>
    </w:rPr>
  </w:style>
  <w:style w:type="paragraph" w:styleId="Header">
    <w:name w:val="header"/>
    <w:basedOn w:val="Normal"/>
    <w:link w:val="HeaderChar"/>
    <w:uiPriority w:val="99"/>
    <w:unhideWhenUsed/>
    <w:rsid w:val="00580EFF"/>
    <w:pPr>
      <w:tabs>
        <w:tab w:val="center" w:pos="4680"/>
        <w:tab w:val="right" w:pos="9360"/>
      </w:tabs>
    </w:pPr>
  </w:style>
  <w:style w:type="character" w:customStyle="1" w:styleId="HeaderChar">
    <w:name w:val="Header Char"/>
    <w:basedOn w:val="DefaultParagraphFont"/>
    <w:link w:val="Header"/>
    <w:uiPriority w:val="99"/>
    <w:rsid w:val="00580EFF"/>
  </w:style>
  <w:style w:type="paragraph" w:styleId="Footer">
    <w:name w:val="footer"/>
    <w:basedOn w:val="Normal"/>
    <w:link w:val="FooterChar"/>
    <w:uiPriority w:val="99"/>
    <w:unhideWhenUsed/>
    <w:rsid w:val="00580EFF"/>
    <w:pPr>
      <w:tabs>
        <w:tab w:val="center" w:pos="4680"/>
        <w:tab w:val="right" w:pos="9360"/>
      </w:tabs>
    </w:pPr>
  </w:style>
  <w:style w:type="character" w:customStyle="1" w:styleId="Heading5Char">
    <w:name w:val="Heading 5 Char"/>
    <w:basedOn w:val="DefaultParagraphFont"/>
    <w:link w:val="Heading5"/>
    <w:uiPriority w:val="9"/>
    <w:semiHidden/>
    <w:rsid w:val="00913EBC"/>
    <w:rPr>
      <w:rFonts w:ascii="Arial" w:eastAsiaTheme="majorEastAsia" w:hAnsi="Arial" w:cstheme="majorBidi"/>
      <w:color w:val="131313" w:themeColor="accent1" w:themeShade="BF"/>
      <w:sz w:val="24"/>
      <w:szCs w:val="24"/>
    </w:rPr>
  </w:style>
  <w:style w:type="paragraph" w:styleId="Title">
    <w:name w:val="Title"/>
    <w:basedOn w:val="Normal"/>
    <w:next w:val="Normal"/>
    <w:link w:val="TitleChar"/>
    <w:uiPriority w:val="10"/>
    <w:qFormat/>
    <w:rsid w:val="00913EBC"/>
    <w:pPr>
      <w:contextualSpacing/>
    </w:pPr>
    <w:rPr>
      <w:rFonts w:eastAsiaTheme="majorEastAsia" w:cstheme="majorBidi"/>
      <w:spacing w:val="-10"/>
      <w:kern w:val="28"/>
      <w:sz w:val="56"/>
      <w:szCs w:val="56"/>
    </w:rPr>
  </w:style>
  <w:style w:type="paragraph" w:customStyle="1" w:styleId="NoParagraphStyle">
    <w:name w:val="[No Paragraph Style]"/>
    <w:rsid w:val="00BE6497"/>
    <w:pPr>
      <w:autoSpaceDE w:val="0"/>
      <w:autoSpaceDN w:val="0"/>
      <w:adjustRightInd w:val="0"/>
      <w:spacing w:line="288" w:lineRule="auto"/>
      <w:textAlignment w:val="center"/>
    </w:pPr>
    <w:rPr>
      <w:rFonts w:ascii="Minion Pro" w:hAnsi="Minion Pro" w:cs="Minion Pro"/>
      <w:color w:val="000000"/>
      <w:sz w:val="24"/>
      <w:szCs w:val="24"/>
    </w:rPr>
  </w:style>
  <w:style w:type="character" w:styleId="PageNumber">
    <w:name w:val="page number"/>
    <w:basedOn w:val="DefaultParagraphFont"/>
    <w:uiPriority w:val="99"/>
    <w:semiHidden/>
    <w:unhideWhenUsed/>
    <w:rsid w:val="00D22F40"/>
  </w:style>
  <w:style w:type="character" w:customStyle="1" w:styleId="TitleChar">
    <w:name w:val="Title Char"/>
    <w:basedOn w:val="DefaultParagraphFont"/>
    <w:link w:val="Title"/>
    <w:uiPriority w:val="10"/>
    <w:rsid w:val="00913EBC"/>
    <w:rPr>
      <w:rFonts w:ascii="Arial" w:eastAsiaTheme="majorEastAsia" w:hAnsi="Arial" w:cstheme="majorBidi"/>
      <w:spacing w:val="-10"/>
      <w:kern w:val="28"/>
      <w:sz w:val="56"/>
      <w:szCs w:val="56"/>
    </w:rPr>
  </w:style>
  <w:style w:type="character" w:customStyle="1" w:styleId="Heading2Char">
    <w:name w:val="Heading 2 Char"/>
    <w:link w:val="Heading2"/>
    <w:uiPriority w:val="9"/>
    <w:rsid w:val="00092689"/>
    <w:rPr>
      <w:rFonts w:ascii="Helvetica" w:eastAsia="Times New Roman" w:hAnsi="Helvetica"/>
      <w:color w:val="F05720" w:themeColor="background2"/>
      <w:sz w:val="26"/>
      <w:szCs w:val="26"/>
    </w:rPr>
  </w:style>
  <w:style w:type="character" w:customStyle="1" w:styleId="FooterChar">
    <w:name w:val="Footer Char"/>
    <w:basedOn w:val="DefaultParagraphFont"/>
    <w:link w:val="Footer"/>
    <w:uiPriority w:val="99"/>
    <w:rsid w:val="00580EFF"/>
  </w:style>
  <w:style w:type="paragraph" w:customStyle="1" w:styleId="PageNumberMIAX">
    <w:name w:val="Page Number_MIAX"/>
    <w:basedOn w:val="Normal"/>
    <w:qFormat/>
    <w:rsid w:val="00913EBC"/>
    <w:rPr>
      <w:b/>
      <w:bCs/>
      <w:color w:val="F15822"/>
      <w:sz w:val="18"/>
      <w:szCs w:val="18"/>
    </w:rPr>
  </w:style>
  <w:style w:type="paragraph" w:customStyle="1" w:styleId="BODYMIAX">
    <w:name w:val="BODY_MIAX"/>
    <w:basedOn w:val="Normal"/>
    <w:qFormat/>
    <w:rsid w:val="00913EBC"/>
    <w:pPr>
      <w:spacing w:line="276" w:lineRule="auto"/>
    </w:pPr>
    <w:rPr>
      <w:color w:val="414041" w:themeColor="text1"/>
      <w:sz w:val="20"/>
      <w:szCs w:val="20"/>
    </w:rPr>
  </w:style>
  <w:style w:type="paragraph" w:customStyle="1" w:styleId="SUBHEADMIAX">
    <w:name w:val="SUBHEAD_MIAX"/>
    <w:basedOn w:val="BODYMIAX"/>
    <w:qFormat/>
    <w:rsid w:val="00963CC4"/>
    <w:pPr>
      <w:spacing w:before="240"/>
    </w:pPr>
    <w:rPr>
      <w:b/>
      <w:bCs/>
      <w:color w:val="414041"/>
      <w:sz w:val="22"/>
      <w:szCs w:val="22"/>
    </w:rPr>
  </w:style>
  <w:style w:type="paragraph" w:customStyle="1" w:styleId="maintext">
    <w:name w:val="main text"/>
    <w:basedOn w:val="NoParagraphStyle"/>
    <w:uiPriority w:val="99"/>
    <w:rsid w:val="00913EBC"/>
    <w:pPr>
      <w:spacing w:after="170" w:line="280" w:lineRule="atLeast"/>
    </w:pPr>
    <w:rPr>
      <w:rFonts w:ascii="Arial" w:hAnsi="Arial" w:cs="Roboto"/>
      <w:sz w:val="20"/>
      <w:szCs w:val="20"/>
    </w:rPr>
  </w:style>
  <w:style w:type="paragraph" w:customStyle="1" w:styleId="SectionBreakerMIAX">
    <w:name w:val="Section Breaker_MIAX"/>
    <w:basedOn w:val="Normal"/>
    <w:qFormat/>
    <w:rsid w:val="00913EBC"/>
    <w:pPr>
      <w:jc w:val="center"/>
    </w:pPr>
    <w:rPr>
      <w:rFonts w:cs="Times New Roman (Body CS)"/>
      <w:b/>
      <w:bCs/>
      <w:color w:val="FFFFFF"/>
      <w:spacing w:val="26"/>
      <w:sz w:val="32"/>
      <w:szCs w:val="34"/>
    </w:rPr>
  </w:style>
  <w:style w:type="paragraph" w:styleId="ListParagraph">
    <w:name w:val="List Paragraph"/>
    <w:basedOn w:val="Normal"/>
    <w:uiPriority w:val="34"/>
    <w:qFormat/>
    <w:rsid w:val="005D16CF"/>
    <w:pPr>
      <w:ind w:left="720"/>
      <w:contextualSpacing/>
    </w:pPr>
  </w:style>
  <w:style w:type="character" w:customStyle="1" w:styleId="Heading1Char">
    <w:name w:val="Heading 1 Char"/>
    <w:link w:val="Heading1"/>
    <w:uiPriority w:val="9"/>
    <w:rsid w:val="004B5931"/>
    <w:rPr>
      <w:rFonts w:ascii="Arial" w:eastAsia="Times New Roman" w:hAnsi="Arial"/>
      <w:b/>
      <w:bCs/>
      <w:color w:val="F05720" w:themeColor="background2"/>
      <w:sz w:val="56"/>
      <w:szCs w:val="56"/>
    </w:rPr>
  </w:style>
  <w:style w:type="paragraph" w:styleId="ListBullet">
    <w:name w:val="List Bullet"/>
    <w:basedOn w:val="Normal"/>
    <w:uiPriority w:val="13"/>
    <w:qFormat/>
    <w:rsid w:val="007A52EF"/>
    <w:pPr>
      <w:numPr>
        <w:numId w:val="1"/>
      </w:numPr>
      <w:spacing w:after="200" w:line="276" w:lineRule="auto"/>
      <w:contextualSpacing/>
    </w:pPr>
    <w:rPr>
      <w:sz w:val="20"/>
    </w:rPr>
  </w:style>
  <w:style w:type="character" w:styleId="Emphasis">
    <w:name w:val="Emphasis"/>
    <w:uiPriority w:val="15"/>
    <w:qFormat/>
    <w:rsid w:val="007A52EF"/>
    <w:rPr>
      <w:rFonts w:ascii="Calibri" w:hAnsi="Calibri"/>
      <w:b/>
      <w:i w:val="0"/>
      <w:iCs/>
      <w:sz w:val="20"/>
    </w:rPr>
  </w:style>
  <w:style w:type="paragraph" w:customStyle="1" w:styleId="FooterMIAX">
    <w:name w:val="Footer_MIAX"/>
    <w:basedOn w:val="NoParagraphStyle"/>
    <w:qFormat/>
    <w:rsid w:val="00913EBC"/>
    <w:pPr>
      <w:spacing w:before="227"/>
      <w:ind w:left="-900"/>
    </w:pPr>
    <w:rPr>
      <w:rFonts w:ascii="Arial" w:hAnsi="Arial" w:cs="Helvetica"/>
      <w:noProof/>
      <w:color w:val="808080"/>
      <w:sz w:val="14"/>
      <w:szCs w:val="14"/>
    </w:rPr>
  </w:style>
  <w:style w:type="table" w:styleId="GridTable2-Accent1">
    <w:name w:val="Grid Table 2 Accent 1"/>
    <w:basedOn w:val="TableNormal"/>
    <w:uiPriority w:val="47"/>
    <w:rsid w:val="007A52EF"/>
    <w:pPr>
      <w:ind w:left="173"/>
    </w:pPr>
    <w:rPr>
      <w:rFonts w:eastAsia="Times New Roman"/>
    </w:rPr>
    <w:tblPr>
      <w:tblStyleRowBandSize w:val="1"/>
      <w:tblStyleColBandSize w:val="1"/>
      <w:tblBorders>
        <w:top w:val="single" w:sz="2" w:space="0" w:color="FFFEFE"/>
        <w:bottom w:val="single" w:sz="2" w:space="0" w:color="FFFEFE"/>
        <w:insideH w:val="single" w:sz="2" w:space="0" w:color="FFFEFE"/>
        <w:insideV w:val="single" w:sz="2" w:space="0" w:color="FFFEFE"/>
      </w:tblBorders>
    </w:tblPr>
    <w:tblStylePr w:type="firstRow">
      <w:rPr>
        <w:b/>
        <w:bCs/>
      </w:rPr>
      <w:tblPr/>
      <w:tcPr>
        <w:tcBorders>
          <w:top w:val="nil"/>
          <w:bottom w:val="single" w:sz="12" w:space="0" w:color="FFFEFE"/>
          <w:insideH w:val="nil"/>
          <w:insideV w:val="nil"/>
        </w:tcBorders>
        <w:shd w:val="clear" w:color="auto" w:fill="FFFFFF"/>
      </w:tcPr>
    </w:tblStylePr>
    <w:tblStylePr w:type="lastRow">
      <w:rPr>
        <w:b/>
        <w:bCs/>
      </w:rPr>
      <w:tblPr/>
      <w:tcPr>
        <w:tcBorders>
          <w:top w:val="double" w:sz="2" w:space="0" w:color="FFFE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EFE"/>
      </w:tcPr>
    </w:tblStylePr>
    <w:tblStylePr w:type="band1Horz">
      <w:tblPr/>
      <w:tcPr>
        <w:shd w:val="clear" w:color="auto" w:fill="FFFEFE"/>
      </w:tcPr>
    </w:tblStylePr>
  </w:style>
  <w:style w:type="paragraph" w:customStyle="1" w:styleId="Attribution">
    <w:name w:val="Attribution"/>
    <w:basedOn w:val="Normal"/>
    <w:qFormat/>
    <w:rsid w:val="00913EBC"/>
    <w:pPr>
      <w:jc w:val="center"/>
    </w:pPr>
    <w:rPr>
      <w:rFonts w:cs="Helvetica"/>
      <w:b/>
      <w:bCs/>
      <w:color w:val="FFFFFF"/>
    </w:rPr>
  </w:style>
  <w:style w:type="paragraph" w:customStyle="1" w:styleId="SectionHeadersMIAX">
    <w:name w:val="Section Headers_MIAX"/>
    <w:basedOn w:val="SUBHEADMIAX"/>
    <w:qFormat/>
    <w:rsid w:val="00963CC4"/>
    <w:rPr>
      <w:color w:val="F15822"/>
      <w:sz w:val="56"/>
      <w:szCs w:val="56"/>
    </w:rPr>
  </w:style>
  <w:style w:type="paragraph" w:customStyle="1" w:styleId="BoldWhiteBodyMIAX">
    <w:name w:val="Bold White Body_MIAX"/>
    <w:basedOn w:val="Normal"/>
    <w:qFormat/>
    <w:rsid w:val="00913EBC"/>
    <w:rPr>
      <w:rFonts w:cs="Helvetica"/>
      <w:b/>
      <w:bCs/>
      <w:color w:val="FFFFFF"/>
    </w:rPr>
  </w:style>
  <w:style w:type="paragraph" w:customStyle="1" w:styleId="BoldOrangeCenteredMIAX">
    <w:name w:val="Bold Orange Centered_MIAX"/>
    <w:basedOn w:val="Normal"/>
    <w:qFormat/>
    <w:rsid w:val="00913EBC"/>
    <w:pPr>
      <w:spacing w:before="60" w:after="60" w:line="276" w:lineRule="auto"/>
      <w:jc w:val="center"/>
      <w:outlineLvl w:val="1"/>
    </w:pPr>
    <w:rPr>
      <w:rFonts w:cs="Calibri"/>
      <w:b/>
      <w:bCs/>
      <w:color w:val="F15822"/>
      <w:sz w:val="26"/>
    </w:rPr>
  </w:style>
  <w:style w:type="table" w:styleId="PlainTable1">
    <w:name w:val="Plain Table 1"/>
    <w:basedOn w:val="TableNormal"/>
    <w:uiPriority w:val="41"/>
    <w:rsid w:val="007C09F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yperlinkMIAX">
    <w:name w:val="hyperlink_MIAX"/>
    <w:qFormat/>
    <w:rsid w:val="00913EBC"/>
    <w:pPr>
      <w:spacing w:line="276" w:lineRule="auto"/>
    </w:pPr>
    <w:rPr>
      <w:rFonts w:ascii="Arial" w:hAnsi="Arial"/>
      <w:color w:val="F05720" w:themeColor="background2"/>
      <w:sz w:val="18"/>
      <w:szCs w:val="18"/>
      <w:u w:val="single"/>
    </w:rPr>
  </w:style>
  <w:style w:type="character" w:styleId="Hyperlink">
    <w:name w:val="Hyperlink"/>
    <w:uiPriority w:val="99"/>
    <w:unhideWhenUsed/>
    <w:rsid w:val="00720A70"/>
    <w:rPr>
      <w:rFonts w:ascii="Helvetica" w:hAnsi="Helvetica"/>
      <w:b w:val="0"/>
      <w:i w:val="0"/>
      <w:color w:val="F15841"/>
      <w:sz w:val="18"/>
      <w:u w:val="single"/>
    </w:rPr>
  </w:style>
  <w:style w:type="paragraph" w:customStyle="1" w:styleId="BoldOrangeMIAX">
    <w:name w:val="Bold Orange_MIAX"/>
    <w:basedOn w:val="TOCHeading"/>
    <w:qFormat/>
    <w:rsid w:val="00F46BA7"/>
    <w:rPr>
      <w:color w:val="F05720" w:themeColor="background2"/>
    </w:rPr>
  </w:style>
  <w:style w:type="table" w:styleId="TableGrid">
    <w:name w:val="Table Grid"/>
    <w:basedOn w:val="TableNormal"/>
    <w:uiPriority w:val="39"/>
    <w:rsid w:val="008A3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A3D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A3D57"/>
    <w:tblPr>
      <w:tblStyleRowBandSize w:val="1"/>
      <w:tblStyleColBandSize w:val="1"/>
    </w:tblPr>
    <w:tblStylePr w:type="firstRow">
      <w:rPr>
        <w:rFonts w:ascii="Calibri Light" w:eastAsia="Times New Roman" w:hAnsi="Calibri Light" w:cs="Times New Roman"/>
        <w:i/>
        <w:iCs/>
        <w:sz w:val="26"/>
      </w:rPr>
      <w:tblPr/>
      <w:tcPr>
        <w:tcBorders>
          <w:bottom w:val="single" w:sz="4" w:space="0" w:color="A09EA0"/>
        </w:tcBorders>
        <w:shd w:val="clear" w:color="auto" w:fill="FFFFFF"/>
      </w:tcPr>
    </w:tblStylePr>
    <w:tblStylePr w:type="lastRow">
      <w:rPr>
        <w:rFonts w:ascii="Calibri Light" w:eastAsia="Times New Roman" w:hAnsi="Calibri Light" w:cs="Times New Roman"/>
        <w:i/>
        <w:iCs/>
        <w:sz w:val="26"/>
      </w:rPr>
      <w:tblPr/>
      <w:tcPr>
        <w:tcBorders>
          <w:top w:val="single" w:sz="4" w:space="0" w:color="A09EA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09EA0"/>
        </w:tcBorders>
        <w:shd w:val="clear" w:color="auto" w:fill="FFFFFF"/>
      </w:tcPr>
    </w:tblStylePr>
    <w:tblStylePr w:type="lastCol">
      <w:rPr>
        <w:rFonts w:ascii="Calibri Light" w:eastAsia="Times New Roman" w:hAnsi="Calibri Light" w:cs="Times New Roman"/>
        <w:i/>
        <w:iCs/>
        <w:sz w:val="26"/>
      </w:rPr>
      <w:tblPr/>
      <w:tcPr>
        <w:tcBorders>
          <w:left w:val="single" w:sz="4" w:space="0" w:color="A09EA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8A3D57"/>
    <w:tblPr>
      <w:tblStyleRowBandSize w:val="1"/>
      <w:tblStyleColBandSize w:val="1"/>
      <w:tblBorders>
        <w:top w:val="single" w:sz="2" w:space="0" w:color="FFFEFE"/>
        <w:bottom w:val="single" w:sz="2" w:space="0" w:color="FFFEFE"/>
        <w:insideH w:val="single" w:sz="2" w:space="0" w:color="FFFEFE"/>
        <w:insideV w:val="single" w:sz="2" w:space="0" w:color="FFFEFE"/>
      </w:tblBorders>
    </w:tblPr>
    <w:tblStylePr w:type="firstRow">
      <w:rPr>
        <w:b/>
        <w:bCs/>
      </w:rPr>
      <w:tblPr/>
      <w:tcPr>
        <w:tcBorders>
          <w:top w:val="nil"/>
          <w:bottom w:val="single" w:sz="12" w:space="0" w:color="FFFEFE"/>
          <w:insideH w:val="nil"/>
          <w:insideV w:val="nil"/>
        </w:tcBorders>
        <w:shd w:val="clear" w:color="auto" w:fill="FFFFFF"/>
      </w:tcPr>
    </w:tblStylePr>
    <w:tblStylePr w:type="lastRow">
      <w:rPr>
        <w:b/>
        <w:bCs/>
      </w:rPr>
      <w:tblPr/>
      <w:tcPr>
        <w:tcBorders>
          <w:top w:val="double" w:sz="2" w:space="0" w:color="FFFE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EFE"/>
      </w:tcPr>
    </w:tblStylePr>
    <w:tblStylePr w:type="band1Horz">
      <w:tblPr/>
      <w:tcPr>
        <w:shd w:val="clear" w:color="auto" w:fill="FFFEFE"/>
      </w:tcPr>
    </w:tblStylePr>
  </w:style>
  <w:style w:type="table" w:styleId="GridTable2-Accent4">
    <w:name w:val="Grid Table 2 Accent 4"/>
    <w:basedOn w:val="TableNormal"/>
    <w:uiPriority w:val="47"/>
    <w:rsid w:val="00656E0E"/>
    <w:tblPr>
      <w:tblStyleRowBandSize w:val="1"/>
      <w:tblStyleColBandSize w:val="1"/>
      <w:tblBorders>
        <w:top w:val="single" w:sz="2" w:space="0" w:color="FFFEFE"/>
        <w:bottom w:val="single" w:sz="2" w:space="0" w:color="FFFEFE"/>
        <w:insideH w:val="single" w:sz="2" w:space="0" w:color="FFFEFE"/>
        <w:insideV w:val="single" w:sz="2" w:space="0" w:color="FFFEFE"/>
      </w:tblBorders>
    </w:tblPr>
    <w:tblStylePr w:type="firstRow">
      <w:rPr>
        <w:b/>
        <w:bCs/>
      </w:rPr>
      <w:tblPr/>
      <w:tcPr>
        <w:tcBorders>
          <w:top w:val="nil"/>
          <w:bottom w:val="single" w:sz="12" w:space="0" w:color="FFFEFE"/>
          <w:insideH w:val="nil"/>
          <w:insideV w:val="nil"/>
        </w:tcBorders>
        <w:shd w:val="clear" w:color="auto" w:fill="FFFFFF"/>
      </w:tcPr>
    </w:tblStylePr>
    <w:tblStylePr w:type="lastRow">
      <w:rPr>
        <w:b/>
        <w:bCs/>
      </w:rPr>
      <w:tblPr/>
      <w:tcPr>
        <w:tcBorders>
          <w:top w:val="double" w:sz="2" w:space="0" w:color="FFFE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EFE"/>
      </w:tcPr>
    </w:tblStylePr>
    <w:tblStylePr w:type="band1Horz">
      <w:tblPr/>
      <w:tcPr>
        <w:shd w:val="clear" w:color="auto" w:fill="FFFEFE"/>
      </w:tcPr>
    </w:tblStylePr>
  </w:style>
  <w:style w:type="paragraph" w:customStyle="1" w:styleId="BulletMIAX">
    <w:name w:val="Bullet_MIAX"/>
    <w:basedOn w:val="BODYMIAX"/>
    <w:qFormat/>
    <w:rsid w:val="00FC1106"/>
    <w:pPr>
      <w:numPr>
        <w:numId w:val="2"/>
      </w:numPr>
    </w:pPr>
  </w:style>
  <w:style w:type="paragraph" w:customStyle="1" w:styleId="LargeOrangeCopyMIAX">
    <w:name w:val="Large Orange Copy_MIAX"/>
    <w:basedOn w:val="Normal"/>
    <w:qFormat/>
    <w:rsid w:val="00913EBC"/>
    <w:pPr>
      <w:jc w:val="center"/>
    </w:pPr>
    <w:rPr>
      <w:rFonts w:cs="Helvetica"/>
      <w:color w:val="F15822"/>
      <w:sz w:val="76"/>
      <w:szCs w:val="76"/>
    </w:rPr>
  </w:style>
  <w:style w:type="paragraph" w:customStyle="1" w:styleId="LargeBoldLeftAlignMIAX">
    <w:name w:val="Large Bold Left Align_MIAX"/>
    <w:basedOn w:val="Heading1"/>
    <w:qFormat/>
    <w:rsid w:val="00F46BA7"/>
    <w:rPr>
      <w:color w:val="414041" w:themeColor="text1"/>
    </w:rPr>
  </w:style>
  <w:style w:type="paragraph" w:styleId="TOCHeading">
    <w:name w:val="TOC Heading"/>
    <w:basedOn w:val="Normal"/>
    <w:next w:val="Normal"/>
    <w:uiPriority w:val="39"/>
    <w:unhideWhenUsed/>
    <w:qFormat/>
    <w:rsid w:val="00092689"/>
    <w:pPr>
      <w:spacing w:line="276" w:lineRule="auto"/>
    </w:pPr>
    <w:rPr>
      <w:rFonts w:ascii="Helvetica" w:hAnsi="Helvetica" w:cs="Times New Roman (Body CS)"/>
      <w:b/>
      <w:bCs/>
      <w:color w:val="F15822"/>
      <w:sz w:val="36"/>
      <w:szCs w:val="36"/>
    </w:rPr>
  </w:style>
  <w:style w:type="paragraph" w:styleId="TOC2">
    <w:name w:val="toc 2"/>
    <w:basedOn w:val="Normal"/>
    <w:next w:val="Normal"/>
    <w:autoRedefine/>
    <w:uiPriority w:val="39"/>
    <w:unhideWhenUsed/>
    <w:qFormat/>
    <w:rsid w:val="00F835BD"/>
    <w:pPr>
      <w:spacing w:before="120" w:line="276" w:lineRule="auto"/>
      <w:ind w:left="245"/>
    </w:pPr>
    <w:rPr>
      <w:rFonts w:asciiTheme="majorHAnsi" w:hAnsiTheme="majorHAnsi"/>
      <w:bCs/>
      <w:color w:val="414041" w:themeColor="text1"/>
      <w:sz w:val="22"/>
      <w:szCs w:val="22"/>
    </w:rPr>
  </w:style>
  <w:style w:type="paragraph" w:styleId="TOC1">
    <w:name w:val="toc 1"/>
    <w:basedOn w:val="Normal"/>
    <w:next w:val="Normal"/>
    <w:autoRedefine/>
    <w:uiPriority w:val="39"/>
    <w:unhideWhenUsed/>
    <w:rsid w:val="00441349"/>
    <w:pPr>
      <w:tabs>
        <w:tab w:val="right" w:leader="dot" w:pos="10416"/>
      </w:tabs>
      <w:spacing w:before="120" w:line="276" w:lineRule="auto"/>
    </w:pPr>
    <w:rPr>
      <w:rFonts w:asciiTheme="majorHAnsi" w:hAnsiTheme="majorHAnsi" w:cs="Times New Roman (Body CS)"/>
      <w:b/>
      <w:bCs/>
      <w:noProof/>
      <w:color w:val="414041" w:themeColor="text1"/>
      <w:sz w:val="22"/>
      <w:szCs w:val="20"/>
    </w:rPr>
  </w:style>
  <w:style w:type="paragraph" w:styleId="TOC3">
    <w:name w:val="toc 3"/>
    <w:basedOn w:val="Normal"/>
    <w:next w:val="Normal"/>
    <w:autoRedefine/>
    <w:uiPriority w:val="39"/>
    <w:unhideWhenUsed/>
    <w:rsid w:val="00F835BD"/>
    <w:pPr>
      <w:ind w:left="480"/>
    </w:pPr>
    <w:rPr>
      <w:rFonts w:asciiTheme="majorHAnsi" w:hAnsiTheme="majorHAnsi"/>
      <w:color w:val="414041" w:themeColor="text1"/>
      <w:sz w:val="20"/>
      <w:szCs w:val="20"/>
    </w:rPr>
  </w:style>
  <w:style w:type="paragraph" w:styleId="TOC4">
    <w:name w:val="toc 4"/>
    <w:basedOn w:val="Normal"/>
    <w:next w:val="Normal"/>
    <w:autoRedefine/>
    <w:uiPriority w:val="39"/>
    <w:unhideWhenUsed/>
    <w:rsid w:val="00F835BD"/>
    <w:pPr>
      <w:ind w:left="720"/>
    </w:pPr>
    <w:rPr>
      <w:rFonts w:asciiTheme="majorHAnsi" w:hAnsiTheme="majorHAnsi"/>
      <w:color w:val="414041" w:themeColor="text1"/>
      <w:sz w:val="20"/>
      <w:szCs w:val="20"/>
    </w:rPr>
  </w:style>
  <w:style w:type="paragraph" w:styleId="TOC5">
    <w:name w:val="toc 5"/>
    <w:basedOn w:val="Normal"/>
    <w:next w:val="Normal"/>
    <w:autoRedefine/>
    <w:uiPriority w:val="39"/>
    <w:semiHidden/>
    <w:unhideWhenUsed/>
    <w:rsid w:val="00130403"/>
    <w:pPr>
      <w:ind w:left="960"/>
    </w:pPr>
    <w:rPr>
      <w:rFonts w:ascii="Calibri" w:hAnsi="Calibri"/>
      <w:sz w:val="20"/>
      <w:szCs w:val="20"/>
    </w:rPr>
  </w:style>
  <w:style w:type="paragraph" w:styleId="TOC6">
    <w:name w:val="toc 6"/>
    <w:basedOn w:val="Normal"/>
    <w:next w:val="Normal"/>
    <w:autoRedefine/>
    <w:uiPriority w:val="39"/>
    <w:semiHidden/>
    <w:unhideWhenUsed/>
    <w:rsid w:val="00130403"/>
    <w:pPr>
      <w:ind w:left="1200"/>
    </w:pPr>
    <w:rPr>
      <w:rFonts w:ascii="Calibri" w:hAnsi="Calibri"/>
      <w:sz w:val="20"/>
      <w:szCs w:val="20"/>
    </w:rPr>
  </w:style>
  <w:style w:type="paragraph" w:styleId="TOC7">
    <w:name w:val="toc 7"/>
    <w:basedOn w:val="Normal"/>
    <w:next w:val="Normal"/>
    <w:autoRedefine/>
    <w:uiPriority w:val="39"/>
    <w:semiHidden/>
    <w:unhideWhenUsed/>
    <w:rsid w:val="00130403"/>
    <w:pPr>
      <w:ind w:left="1440"/>
    </w:pPr>
    <w:rPr>
      <w:rFonts w:ascii="Calibri" w:hAnsi="Calibri"/>
      <w:sz w:val="20"/>
      <w:szCs w:val="20"/>
    </w:rPr>
  </w:style>
  <w:style w:type="paragraph" w:styleId="TOC8">
    <w:name w:val="toc 8"/>
    <w:basedOn w:val="Normal"/>
    <w:next w:val="Normal"/>
    <w:autoRedefine/>
    <w:uiPriority w:val="39"/>
    <w:semiHidden/>
    <w:unhideWhenUsed/>
    <w:rsid w:val="00130403"/>
    <w:pPr>
      <w:ind w:left="1680"/>
    </w:pPr>
    <w:rPr>
      <w:rFonts w:ascii="Calibri" w:hAnsi="Calibri"/>
      <w:sz w:val="20"/>
      <w:szCs w:val="20"/>
    </w:rPr>
  </w:style>
  <w:style w:type="paragraph" w:styleId="TOC9">
    <w:name w:val="toc 9"/>
    <w:basedOn w:val="Normal"/>
    <w:next w:val="Normal"/>
    <w:autoRedefine/>
    <w:uiPriority w:val="39"/>
    <w:semiHidden/>
    <w:unhideWhenUsed/>
    <w:rsid w:val="00130403"/>
    <w:pPr>
      <w:ind w:left="1920"/>
    </w:pPr>
    <w:rPr>
      <w:rFonts w:ascii="Calibri" w:hAnsi="Calibri"/>
      <w:sz w:val="20"/>
      <w:szCs w:val="20"/>
    </w:rPr>
  </w:style>
  <w:style w:type="paragraph" w:customStyle="1" w:styleId="Default">
    <w:name w:val="Default"/>
    <w:rsid w:val="00913EBC"/>
    <w:pPr>
      <w:autoSpaceDE w:val="0"/>
      <w:autoSpaceDN w:val="0"/>
      <w:adjustRightInd w:val="0"/>
    </w:pPr>
    <w:rPr>
      <w:rFonts w:ascii="Arial" w:hAnsi="Arial" w:cs="Calibri"/>
      <w:color w:val="000000"/>
      <w:sz w:val="24"/>
      <w:szCs w:val="24"/>
    </w:rPr>
  </w:style>
  <w:style w:type="paragraph" w:customStyle="1" w:styleId="TableParagraph">
    <w:name w:val="Table Paragraph"/>
    <w:basedOn w:val="Normal"/>
    <w:uiPriority w:val="1"/>
    <w:qFormat/>
    <w:rsid w:val="00A674E8"/>
    <w:pPr>
      <w:widowControl w:val="0"/>
      <w:autoSpaceDE w:val="0"/>
      <w:autoSpaceDN w:val="0"/>
      <w:spacing w:before="33"/>
      <w:jc w:val="center"/>
    </w:pPr>
    <w:rPr>
      <w:rFonts w:eastAsia="Arial" w:cs="Arial"/>
      <w:sz w:val="22"/>
      <w:szCs w:val="22"/>
    </w:rPr>
  </w:style>
  <w:style w:type="character" w:customStyle="1" w:styleId="Heading3Char">
    <w:name w:val="Heading 3 Char"/>
    <w:link w:val="Heading3"/>
    <w:uiPriority w:val="9"/>
    <w:rsid w:val="00092689"/>
    <w:rPr>
      <w:rFonts w:ascii="Helvetica" w:eastAsia="Times New Roman" w:hAnsi="Helvetica"/>
      <w:b/>
      <w:bCs/>
      <w:color w:val="414041" w:themeColor="text1"/>
      <w:sz w:val="22"/>
      <w:szCs w:val="22"/>
    </w:rPr>
  </w:style>
  <w:style w:type="character" w:customStyle="1" w:styleId="Heading4Char">
    <w:name w:val="Heading 4 Char"/>
    <w:link w:val="Heading4"/>
    <w:uiPriority w:val="9"/>
    <w:rsid w:val="00092689"/>
    <w:rPr>
      <w:rFonts w:ascii="Helvetica" w:eastAsia="Times New Roman" w:hAnsi="Helvetica"/>
      <w:b/>
      <w:bCs/>
      <w:i/>
      <w:iCs/>
      <w:color w:val="414041" w:themeColor="text1"/>
    </w:rPr>
  </w:style>
  <w:style w:type="character" w:styleId="FollowedHyperlink">
    <w:name w:val="FollowedHyperlink"/>
    <w:uiPriority w:val="99"/>
    <w:semiHidden/>
    <w:unhideWhenUsed/>
    <w:rsid w:val="00161E3C"/>
    <w:rPr>
      <w:color w:val="F15822"/>
      <w:u w:val="single"/>
    </w:rPr>
  </w:style>
  <w:style w:type="paragraph" w:styleId="Subtitle">
    <w:name w:val="Subtitle"/>
    <w:basedOn w:val="Normal"/>
    <w:next w:val="Normal"/>
    <w:link w:val="SubtitleChar"/>
    <w:uiPriority w:val="11"/>
    <w:qFormat/>
    <w:rsid w:val="00913EBC"/>
    <w:pPr>
      <w:numPr>
        <w:ilvl w:val="1"/>
      </w:numPr>
      <w:spacing w:after="160"/>
    </w:pPr>
    <w:rPr>
      <w:rFonts w:eastAsiaTheme="minorEastAsia" w:cstheme="minorBidi"/>
      <w:color w:val="848284" w:themeColor="text1" w:themeTint="A5"/>
      <w:spacing w:val="15"/>
      <w:sz w:val="22"/>
      <w:szCs w:val="22"/>
    </w:rPr>
  </w:style>
  <w:style w:type="character" w:customStyle="1" w:styleId="SubtitleChar">
    <w:name w:val="Subtitle Char"/>
    <w:basedOn w:val="DefaultParagraphFont"/>
    <w:link w:val="Subtitle"/>
    <w:uiPriority w:val="11"/>
    <w:rsid w:val="00913EBC"/>
    <w:rPr>
      <w:rFonts w:ascii="Arial" w:eastAsiaTheme="minorEastAsia" w:hAnsi="Arial" w:cstheme="minorBidi"/>
      <w:color w:val="848284" w:themeColor="text1" w:themeTint="A5"/>
      <w:spacing w:val="15"/>
      <w:sz w:val="22"/>
      <w:szCs w:val="22"/>
    </w:rPr>
  </w:style>
  <w:style w:type="paragraph" w:styleId="CommentText">
    <w:name w:val="annotation text"/>
    <w:basedOn w:val="Normal"/>
    <w:link w:val="CommentTextChar"/>
    <w:uiPriority w:val="99"/>
    <w:unhideWhenUsed/>
    <w:rsid w:val="0074785F"/>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4785F"/>
    <w:rPr>
      <w:rFonts w:asciiTheme="minorHAnsi" w:eastAsiaTheme="minorHAnsi" w:hAnsiTheme="minorHAnsi" w:cstheme="minorBidi"/>
    </w:rPr>
  </w:style>
  <w:style w:type="paragraph" w:styleId="NormalWeb">
    <w:name w:val="Normal (Web)"/>
    <w:basedOn w:val="Normal"/>
    <w:uiPriority w:val="99"/>
    <w:unhideWhenUsed/>
    <w:rsid w:val="008273CC"/>
    <w:pPr>
      <w:spacing w:before="100" w:beforeAutospacing="1" w:after="100" w:afterAutospacing="1"/>
    </w:pPr>
    <w:rPr>
      <w:rFonts w:ascii="Times New Roman" w:hAnsi="Times New Roman"/>
    </w:rPr>
  </w:style>
  <w:style w:type="table" w:customStyle="1" w:styleId="TableGrid1">
    <w:name w:val="Table Grid1"/>
    <w:basedOn w:val="TableNormal"/>
    <w:next w:val="TableGrid"/>
    <w:uiPriority w:val="39"/>
    <w:rsid w:val="00AF3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8C21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7542">
      <w:bodyDiv w:val="1"/>
      <w:marLeft w:val="0"/>
      <w:marRight w:val="0"/>
      <w:marTop w:val="0"/>
      <w:marBottom w:val="0"/>
      <w:divBdr>
        <w:top w:val="none" w:sz="0" w:space="0" w:color="auto"/>
        <w:left w:val="none" w:sz="0" w:space="0" w:color="auto"/>
        <w:bottom w:val="none" w:sz="0" w:space="0" w:color="auto"/>
        <w:right w:val="none" w:sz="0" w:space="0" w:color="auto"/>
      </w:divBdr>
    </w:div>
    <w:div w:id="82455884">
      <w:bodyDiv w:val="1"/>
      <w:marLeft w:val="0"/>
      <w:marRight w:val="0"/>
      <w:marTop w:val="0"/>
      <w:marBottom w:val="0"/>
      <w:divBdr>
        <w:top w:val="none" w:sz="0" w:space="0" w:color="auto"/>
        <w:left w:val="none" w:sz="0" w:space="0" w:color="auto"/>
        <w:bottom w:val="none" w:sz="0" w:space="0" w:color="auto"/>
        <w:right w:val="none" w:sz="0" w:space="0" w:color="auto"/>
      </w:divBdr>
    </w:div>
    <w:div w:id="110635149">
      <w:bodyDiv w:val="1"/>
      <w:marLeft w:val="0"/>
      <w:marRight w:val="0"/>
      <w:marTop w:val="0"/>
      <w:marBottom w:val="0"/>
      <w:divBdr>
        <w:top w:val="none" w:sz="0" w:space="0" w:color="auto"/>
        <w:left w:val="none" w:sz="0" w:space="0" w:color="auto"/>
        <w:bottom w:val="none" w:sz="0" w:space="0" w:color="auto"/>
        <w:right w:val="none" w:sz="0" w:space="0" w:color="auto"/>
      </w:divBdr>
    </w:div>
    <w:div w:id="307784950">
      <w:bodyDiv w:val="1"/>
      <w:marLeft w:val="0"/>
      <w:marRight w:val="0"/>
      <w:marTop w:val="0"/>
      <w:marBottom w:val="0"/>
      <w:divBdr>
        <w:top w:val="none" w:sz="0" w:space="0" w:color="auto"/>
        <w:left w:val="none" w:sz="0" w:space="0" w:color="auto"/>
        <w:bottom w:val="none" w:sz="0" w:space="0" w:color="auto"/>
        <w:right w:val="none" w:sz="0" w:space="0" w:color="auto"/>
      </w:divBdr>
    </w:div>
    <w:div w:id="317152150">
      <w:bodyDiv w:val="1"/>
      <w:marLeft w:val="0"/>
      <w:marRight w:val="0"/>
      <w:marTop w:val="0"/>
      <w:marBottom w:val="0"/>
      <w:divBdr>
        <w:top w:val="none" w:sz="0" w:space="0" w:color="auto"/>
        <w:left w:val="none" w:sz="0" w:space="0" w:color="auto"/>
        <w:bottom w:val="none" w:sz="0" w:space="0" w:color="auto"/>
        <w:right w:val="none" w:sz="0" w:space="0" w:color="auto"/>
      </w:divBdr>
    </w:div>
    <w:div w:id="659238786">
      <w:bodyDiv w:val="1"/>
      <w:marLeft w:val="0"/>
      <w:marRight w:val="0"/>
      <w:marTop w:val="0"/>
      <w:marBottom w:val="0"/>
      <w:divBdr>
        <w:top w:val="none" w:sz="0" w:space="0" w:color="auto"/>
        <w:left w:val="none" w:sz="0" w:space="0" w:color="auto"/>
        <w:bottom w:val="none" w:sz="0" w:space="0" w:color="auto"/>
        <w:right w:val="none" w:sz="0" w:space="0" w:color="auto"/>
      </w:divBdr>
    </w:div>
    <w:div w:id="660042968">
      <w:bodyDiv w:val="1"/>
      <w:marLeft w:val="0"/>
      <w:marRight w:val="0"/>
      <w:marTop w:val="0"/>
      <w:marBottom w:val="0"/>
      <w:divBdr>
        <w:top w:val="none" w:sz="0" w:space="0" w:color="auto"/>
        <w:left w:val="none" w:sz="0" w:space="0" w:color="auto"/>
        <w:bottom w:val="none" w:sz="0" w:space="0" w:color="auto"/>
        <w:right w:val="none" w:sz="0" w:space="0" w:color="auto"/>
      </w:divBdr>
    </w:div>
    <w:div w:id="811873076">
      <w:bodyDiv w:val="1"/>
      <w:marLeft w:val="0"/>
      <w:marRight w:val="0"/>
      <w:marTop w:val="0"/>
      <w:marBottom w:val="0"/>
      <w:divBdr>
        <w:top w:val="none" w:sz="0" w:space="0" w:color="auto"/>
        <w:left w:val="none" w:sz="0" w:space="0" w:color="auto"/>
        <w:bottom w:val="none" w:sz="0" w:space="0" w:color="auto"/>
        <w:right w:val="none" w:sz="0" w:space="0" w:color="auto"/>
      </w:divBdr>
    </w:div>
    <w:div w:id="999430593">
      <w:bodyDiv w:val="1"/>
      <w:marLeft w:val="0"/>
      <w:marRight w:val="0"/>
      <w:marTop w:val="0"/>
      <w:marBottom w:val="0"/>
      <w:divBdr>
        <w:top w:val="none" w:sz="0" w:space="0" w:color="auto"/>
        <w:left w:val="none" w:sz="0" w:space="0" w:color="auto"/>
        <w:bottom w:val="none" w:sz="0" w:space="0" w:color="auto"/>
        <w:right w:val="none" w:sz="0" w:space="0" w:color="auto"/>
      </w:divBdr>
    </w:div>
    <w:div w:id="1377656488">
      <w:bodyDiv w:val="1"/>
      <w:marLeft w:val="0"/>
      <w:marRight w:val="0"/>
      <w:marTop w:val="0"/>
      <w:marBottom w:val="0"/>
      <w:divBdr>
        <w:top w:val="none" w:sz="0" w:space="0" w:color="auto"/>
        <w:left w:val="none" w:sz="0" w:space="0" w:color="auto"/>
        <w:bottom w:val="none" w:sz="0" w:space="0" w:color="auto"/>
        <w:right w:val="none" w:sz="0" w:space="0" w:color="auto"/>
      </w:divBdr>
    </w:div>
    <w:div w:id="1390038029">
      <w:bodyDiv w:val="1"/>
      <w:marLeft w:val="0"/>
      <w:marRight w:val="0"/>
      <w:marTop w:val="0"/>
      <w:marBottom w:val="0"/>
      <w:divBdr>
        <w:top w:val="none" w:sz="0" w:space="0" w:color="auto"/>
        <w:left w:val="none" w:sz="0" w:space="0" w:color="auto"/>
        <w:bottom w:val="none" w:sz="0" w:space="0" w:color="auto"/>
        <w:right w:val="none" w:sz="0" w:space="0" w:color="auto"/>
      </w:divBdr>
    </w:div>
    <w:div w:id="1395855055">
      <w:bodyDiv w:val="1"/>
      <w:marLeft w:val="0"/>
      <w:marRight w:val="0"/>
      <w:marTop w:val="0"/>
      <w:marBottom w:val="0"/>
      <w:divBdr>
        <w:top w:val="none" w:sz="0" w:space="0" w:color="auto"/>
        <w:left w:val="none" w:sz="0" w:space="0" w:color="auto"/>
        <w:bottom w:val="none" w:sz="0" w:space="0" w:color="auto"/>
        <w:right w:val="none" w:sz="0" w:space="0" w:color="auto"/>
      </w:divBdr>
    </w:div>
    <w:div w:id="1509369848">
      <w:bodyDiv w:val="1"/>
      <w:marLeft w:val="0"/>
      <w:marRight w:val="0"/>
      <w:marTop w:val="0"/>
      <w:marBottom w:val="0"/>
      <w:divBdr>
        <w:top w:val="none" w:sz="0" w:space="0" w:color="auto"/>
        <w:left w:val="none" w:sz="0" w:space="0" w:color="auto"/>
        <w:bottom w:val="none" w:sz="0" w:space="0" w:color="auto"/>
        <w:right w:val="none" w:sz="0" w:space="0" w:color="auto"/>
      </w:divBdr>
    </w:div>
    <w:div w:id="1529217390">
      <w:bodyDiv w:val="1"/>
      <w:marLeft w:val="0"/>
      <w:marRight w:val="0"/>
      <w:marTop w:val="0"/>
      <w:marBottom w:val="0"/>
      <w:divBdr>
        <w:top w:val="none" w:sz="0" w:space="0" w:color="auto"/>
        <w:left w:val="none" w:sz="0" w:space="0" w:color="auto"/>
        <w:bottom w:val="none" w:sz="0" w:space="0" w:color="auto"/>
        <w:right w:val="none" w:sz="0" w:space="0" w:color="auto"/>
      </w:divBdr>
    </w:div>
    <w:div w:id="1546018380">
      <w:bodyDiv w:val="1"/>
      <w:marLeft w:val="0"/>
      <w:marRight w:val="0"/>
      <w:marTop w:val="0"/>
      <w:marBottom w:val="0"/>
      <w:divBdr>
        <w:top w:val="none" w:sz="0" w:space="0" w:color="auto"/>
        <w:left w:val="none" w:sz="0" w:space="0" w:color="auto"/>
        <w:bottom w:val="none" w:sz="0" w:space="0" w:color="auto"/>
        <w:right w:val="none" w:sz="0" w:space="0" w:color="auto"/>
      </w:divBdr>
    </w:div>
    <w:div w:id="1651396265">
      <w:bodyDiv w:val="1"/>
      <w:marLeft w:val="0"/>
      <w:marRight w:val="0"/>
      <w:marTop w:val="0"/>
      <w:marBottom w:val="0"/>
      <w:divBdr>
        <w:top w:val="none" w:sz="0" w:space="0" w:color="auto"/>
        <w:left w:val="none" w:sz="0" w:space="0" w:color="auto"/>
        <w:bottom w:val="none" w:sz="0" w:space="0" w:color="auto"/>
        <w:right w:val="none" w:sz="0" w:space="0" w:color="auto"/>
      </w:divBdr>
    </w:div>
    <w:div w:id="1745688632">
      <w:bodyDiv w:val="1"/>
      <w:marLeft w:val="0"/>
      <w:marRight w:val="0"/>
      <w:marTop w:val="0"/>
      <w:marBottom w:val="0"/>
      <w:divBdr>
        <w:top w:val="none" w:sz="0" w:space="0" w:color="auto"/>
        <w:left w:val="none" w:sz="0" w:space="0" w:color="auto"/>
        <w:bottom w:val="none" w:sz="0" w:space="0" w:color="auto"/>
        <w:right w:val="none" w:sz="0" w:space="0" w:color="auto"/>
      </w:divBdr>
    </w:div>
    <w:div w:id="2000618804">
      <w:bodyDiv w:val="1"/>
      <w:marLeft w:val="0"/>
      <w:marRight w:val="0"/>
      <w:marTop w:val="0"/>
      <w:marBottom w:val="0"/>
      <w:divBdr>
        <w:top w:val="none" w:sz="0" w:space="0" w:color="auto"/>
        <w:left w:val="none" w:sz="0" w:space="0" w:color="auto"/>
        <w:bottom w:val="none" w:sz="0" w:space="0" w:color="auto"/>
        <w:right w:val="none" w:sz="0" w:space="0" w:color="auto"/>
      </w:divBdr>
    </w:div>
    <w:div w:id="201144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3MIAXPPTcolorsforWord">
  <a:themeElements>
    <a:clrScheme name="Custom 2 - For Word">
      <a:dk1>
        <a:srgbClr val="414041"/>
      </a:dk1>
      <a:lt1>
        <a:srgbClr val="FFFFFF"/>
      </a:lt1>
      <a:dk2>
        <a:srgbClr val="F1F2F0"/>
      </a:dk2>
      <a:lt2>
        <a:srgbClr val="F05720"/>
      </a:lt2>
      <a:accent1>
        <a:srgbClr val="1A1A1A"/>
      </a:accent1>
      <a:accent2>
        <a:srgbClr val="A6A6A6"/>
      </a:accent2>
      <a:accent3>
        <a:srgbClr val="3F8D83"/>
      </a:accent3>
      <a:accent4>
        <a:srgbClr val="673459"/>
      </a:accent4>
      <a:accent5>
        <a:srgbClr val="414FF5"/>
      </a:accent5>
      <a:accent6>
        <a:srgbClr val="A3B146"/>
      </a:accent6>
      <a:hlink>
        <a:srgbClr val="F15822"/>
      </a:hlink>
      <a:folHlink>
        <a:srgbClr val="A6A6A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2_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76200" dist="381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w="50800" cap="flat">
          <a:noFill/>
          <a:prstDash val="solid"/>
          <a:round/>
        </a:ln>
        <a:effectLst/>
        <a:sp3d/>
      </a:spPr>
      <a:bodyPr rot="0" spcFirstLastPara="1" vertOverflow="overflow" horzOverflow="overflow" vert="horz" wrap="square" lIns="91439" tIns="91439" rIns="91439" bIns="91439" numCol="1" spcCol="38100" rtlCol="0" anchor="ctr">
        <a:spAutoFit/>
      </a:bodyPr>
      <a:lstStyle>
        <a:defPPr marL="0" marR="0" indent="0" algn="l" defTabSz="914174" rtl="0" fontAlgn="auto" latinLnBrk="0" hangingPunct="0">
          <a:lnSpc>
            <a:spcPct val="100000"/>
          </a:lnSpc>
          <a:spcBef>
            <a:spcPts val="0"/>
          </a:spcBef>
          <a:spcAft>
            <a:spcPts val="0"/>
          </a:spcAft>
          <a:buClrTx/>
          <a:buSzTx/>
          <a:buFontTx/>
          <a:buNone/>
          <a:tabLst/>
          <a:defRPr kumimoji="0" sz="3600" b="0" i="0" u="none" strike="noStrike" cap="none" spc="0" normalizeH="0" baseline="0">
            <a:ln>
              <a:noFill/>
            </a:ln>
            <a:solidFill>
              <a:srgbClr val="000000"/>
            </a:solidFill>
            <a:effectLst/>
            <a:uFillTx/>
            <a:latin typeface="+mj-lt"/>
            <a:ea typeface="+mj-ea"/>
            <a:cs typeface="+mj-cs"/>
            <a:sym typeface="Calibri"/>
          </a:defRPr>
        </a:defPPr>
      </a:lstStyle>
      <a:style>
        <a:lnRef idx="0">
          <a:scrgbClr r="0" g="0" b="0"/>
        </a:lnRef>
        <a:fillRef idx="0">
          <a:scrgbClr r="0" g="0" b="0"/>
        </a:fillRef>
        <a:effectRef idx="0">
          <a:scrgbClr r="0" g="0" b="0"/>
        </a:effectRef>
        <a:fontRef idx="none"/>
      </a:style>
    </a:spDef>
    <a:lnDef>
      <a:spPr>
        <a:noFill/>
        <a:ln w="50800" cap="flat">
          <a:solidFill>
            <a:schemeClr val="accent1"/>
          </a:solidFill>
          <a:prstDash val="solid"/>
          <a:round/>
        </a:ln>
        <a:effectLst>
          <a:outerShdw blurRad="76200" dist="381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25400" cap="flat">
          <a:noFill/>
          <a:miter lim="400000"/>
        </a:ln>
        <a:effectLst/>
        <a:sp3d/>
      </a:spPr>
      <a:bodyPr rot="0" spcFirstLastPara="1" vertOverflow="overflow" horzOverflow="overflow" vert="horz" wrap="square" lIns="91439" tIns="91439" rIns="91439" bIns="91439" numCol="1" spcCol="38100" rtlCol="0" anchor="t">
        <a:spAutoFit/>
      </a:bodyPr>
      <a:lstStyle>
        <a:defPPr marL="0" marR="0" indent="0" algn="l" defTabSz="914174" rtl="0" fontAlgn="auto" latinLnBrk="0" hangingPunct="0">
          <a:lnSpc>
            <a:spcPct val="100000"/>
          </a:lnSpc>
          <a:spcBef>
            <a:spcPts val="0"/>
          </a:spcBef>
          <a:spcAft>
            <a:spcPts val="0"/>
          </a:spcAft>
          <a:buClrTx/>
          <a:buSzTx/>
          <a:buFontTx/>
          <a:buNone/>
          <a:tabLst/>
          <a:defRPr kumimoji="0" sz="36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Theme3MIAXPPTcolorsforWord" id="{C1F328E2-DDAC-2844-8821-82A2BBDA737D}" vid="{BD32CA28-959D-544E-8392-AE715302C54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587C-8387-4BCF-8074-E8C6C4E1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20952</CharactersWithSpaces>
  <SharedDoc>false</SharedDoc>
  <HyperlinkBase/>
  <HLinks>
    <vt:vector size="102" baseType="variant">
      <vt:variant>
        <vt:i4>3997735</vt:i4>
      </vt:variant>
      <vt:variant>
        <vt:i4>96</vt:i4>
      </vt:variant>
      <vt:variant>
        <vt:i4>0</vt:i4>
      </vt:variant>
      <vt:variant>
        <vt:i4>5</vt:i4>
      </vt:variant>
      <vt:variant>
        <vt:lpwstr>http://www.miaxoptions.com/rulebook</vt:lpwstr>
      </vt:variant>
      <vt:variant>
        <vt:lpwstr/>
      </vt:variant>
      <vt:variant>
        <vt:i4>2031664</vt:i4>
      </vt:variant>
      <vt:variant>
        <vt:i4>89</vt:i4>
      </vt:variant>
      <vt:variant>
        <vt:i4>0</vt:i4>
      </vt:variant>
      <vt:variant>
        <vt:i4>5</vt:i4>
      </vt:variant>
      <vt:variant>
        <vt:lpwstr/>
      </vt:variant>
      <vt:variant>
        <vt:lpwstr>_Toc53407368</vt:lpwstr>
      </vt:variant>
      <vt:variant>
        <vt:i4>1048624</vt:i4>
      </vt:variant>
      <vt:variant>
        <vt:i4>83</vt:i4>
      </vt:variant>
      <vt:variant>
        <vt:i4>0</vt:i4>
      </vt:variant>
      <vt:variant>
        <vt:i4>5</vt:i4>
      </vt:variant>
      <vt:variant>
        <vt:lpwstr/>
      </vt:variant>
      <vt:variant>
        <vt:lpwstr>_Toc53407367</vt:lpwstr>
      </vt:variant>
      <vt:variant>
        <vt:i4>1114160</vt:i4>
      </vt:variant>
      <vt:variant>
        <vt:i4>77</vt:i4>
      </vt:variant>
      <vt:variant>
        <vt:i4>0</vt:i4>
      </vt:variant>
      <vt:variant>
        <vt:i4>5</vt:i4>
      </vt:variant>
      <vt:variant>
        <vt:lpwstr/>
      </vt:variant>
      <vt:variant>
        <vt:lpwstr>_Toc53407366</vt:lpwstr>
      </vt:variant>
      <vt:variant>
        <vt:i4>1179696</vt:i4>
      </vt:variant>
      <vt:variant>
        <vt:i4>71</vt:i4>
      </vt:variant>
      <vt:variant>
        <vt:i4>0</vt:i4>
      </vt:variant>
      <vt:variant>
        <vt:i4>5</vt:i4>
      </vt:variant>
      <vt:variant>
        <vt:lpwstr/>
      </vt:variant>
      <vt:variant>
        <vt:lpwstr>_Toc53407365</vt:lpwstr>
      </vt:variant>
      <vt:variant>
        <vt:i4>1245232</vt:i4>
      </vt:variant>
      <vt:variant>
        <vt:i4>65</vt:i4>
      </vt:variant>
      <vt:variant>
        <vt:i4>0</vt:i4>
      </vt:variant>
      <vt:variant>
        <vt:i4>5</vt:i4>
      </vt:variant>
      <vt:variant>
        <vt:lpwstr/>
      </vt:variant>
      <vt:variant>
        <vt:lpwstr>_Toc53407364</vt:lpwstr>
      </vt:variant>
      <vt:variant>
        <vt:i4>1310768</vt:i4>
      </vt:variant>
      <vt:variant>
        <vt:i4>59</vt:i4>
      </vt:variant>
      <vt:variant>
        <vt:i4>0</vt:i4>
      </vt:variant>
      <vt:variant>
        <vt:i4>5</vt:i4>
      </vt:variant>
      <vt:variant>
        <vt:lpwstr/>
      </vt:variant>
      <vt:variant>
        <vt:lpwstr>_Toc53407363</vt:lpwstr>
      </vt:variant>
      <vt:variant>
        <vt:i4>1376304</vt:i4>
      </vt:variant>
      <vt:variant>
        <vt:i4>53</vt:i4>
      </vt:variant>
      <vt:variant>
        <vt:i4>0</vt:i4>
      </vt:variant>
      <vt:variant>
        <vt:i4>5</vt:i4>
      </vt:variant>
      <vt:variant>
        <vt:lpwstr/>
      </vt:variant>
      <vt:variant>
        <vt:lpwstr>_Toc53407362</vt:lpwstr>
      </vt:variant>
      <vt:variant>
        <vt:i4>1441840</vt:i4>
      </vt:variant>
      <vt:variant>
        <vt:i4>47</vt:i4>
      </vt:variant>
      <vt:variant>
        <vt:i4>0</vt:i4>
      </vt:variant>
      <vt:variant>
        <vt:i4>5</vt:i4>
      </vt:variant>
      <vt:variant>
        <vt:lpwstr/>
      </vt:variant>
      <vt:variant>
        <vt:lpwstr>_Toc53407361</vt:lpwstr>
      </vt:variant>
      <vt:variant>
        <vt:i4>1507376</vt:i4>
      </vt:variant>
      <vt:variant>
        <vt:i4>41</vt:i4>
      </vt:variant>
      <vt:variant>
        <vt:i4>0</vt:i4>
      </vt:variant>
      <vt:variant>
        <vt:i4>5</vt:i4>
      </vt:variant>
      <vt:variant>
        <vt:lpwstr/>
      </vt:variant>
      <vt:variant>
        <vt:lpwstr>_Toc53407360</vt:lpwstr>
      </vt:variant>
      <vt:variant>
        <vt:i4>1966131</vt:i4>
      </vt:variant>
      <vt:variant>
        <vt:i4>35</vt:i4>
      </vt:variant>
      <vt:variant>
        <vt:i4>0</vt:i4>
      </vt:variant>
      <vt:variant>
        <vt:i4>5</vt:i4>
      </vt:variant>
      <vt:variant>
        <vt:lpwstr/>
      </vt:variant>
      <vt:variant>
        <vt:lpwstr>_Toc53407359</vt:lpwstr>
      </vt:variant>
      <vt:variant>
        <vt:i4>2031667</vt:i4>
      </vt:variant>
      <vt:variant>
        <vt:i4>29</vt:i4>
      </vt:variant>
      <vt:variant>
        <vt:i4>0</vt:i4>
      </vt:variant>
      <vt:variant>
        <vt:i4>5</vt:i4>
      </vt:variant>
      <vt:variant>
        <vt:lpwstr/>
      </vt:variant>
      <vt:variant>
        <vt:lpwstr>_Toc53407358</vt:lpwstr>
      </vt:variant>
      <vt:variant>
        <vt:i4>1048627</vt:i4>
      </vt:variant>
      <vt:variant>
        <vt:i4>23</vt:i4>
      </vt:variant>
      <vt:variant>
        <vt:i4>0</vt:i4>
      </vt:variant>
      <vt:variant>
        <vt:i4>5</vt:i4>
      </vt:variant>
      <vt:variant>
        <vt:lpwstr/>
      </vt:variant>
      <vt:variant>
        <vt:lpwstr>_Toc53407357</vt:lpwstr>
      </vt:variant>
      <vt:variant>
        <vt:i4>1114163</vt:i4>
      </vt:variant>
      <vt:variant>
        <vt:i4>17</vt:i4>
      </vt:variant>
      <vt:variant>
        <vt:i4>0</vt:i4>
      </vt:variant>
      <vt:variant>
        <vt:i4>5</vt:i4>
      </vt:variant>
      <vt:variant>
        <vt:lpwstr/>
      </vt:variant>
      <vt:variant>
        <vt:lpwstr>_Toc53407356</vt:lpwstr>
      </vt:variant>
      <vt:variant>
        <vt:i4>1179699</vt:i4>
      </vt:variant>
      <vt:variant>
        <vt:i4>11</vt:i4>
      </vt:variant>
      <vt:variant>
        <vt:i4>0</vt:i4>
      </vt:variant>
      <vt:variant>
        <vt:i4>5</vt:i4>
      </vt:variant>
      <vt:variant>
        <vt:lpwstr/>
      </vt:variant>
      <vt:variant>
        <vt:lpwstr>_Toc53407355</vt:lpwstr>
      </vt:variant>
      <vt:variant>
        <vt:i4>1245235</vt:i4>
      </vt:variant>
      <vt:variant>
        <vt:i4>5</vt:i4>
      </vt:variant>
      <vt:variant>
        <vt:i4>0</vt:i4>
      </vt:variant>
      <vt:variant>
        <vt:i4>5</vt:i4>
      </vt:variant>
      <vt:variant>
        <vt:lpwstr/>
      </vt:variant>
      <vt:variant>
        <vt:lpwstr>_Toc53407354</vt:lpwstr>
      </vt:variant>
      <vt:variant>
        <vt:i4>1310771</vt:i4>
      </vt:variant>
      <vt:variant>
        <vt:i4>2</vt:i4>
      </vt:variant>
      <vt:variant>
        <vt:i4>0</vt:i4>
      </vt:variant>
      <vt:variant>
        <vt:i4>5</vt:i4>
      </vt:variant>
      <vt:variant>
        <vt:lpwstr/>
      </vt:variant>
      <vt:variant>
        <vt:lpwstr>_Toc53407353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Bennett</dc:creator>
  <cp:keywords/>
  <dc:description/>
  <cp:lastModifiedBy>Nicole Ross</cp:lastModifiedBy>
  <cp:revision>88</cp:revision>
  <cp:lastPrinted>2020-10-13T20:29:00Z</cp:lastPrinted>
  <dcterms:created xsi:type="dcterms:W3CDTF">2021-03-31T18:27:00Z</dcterms:created>
  <dcterms:modified xsi:type="dcterms:W3CDTF">2022-08-30T19:35:00Z</dcterms:modified>
  <cp:category/>
</cp:coreProperties>
</file>