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32E83" w14:textId="69E5902B" w:rsidR="009C5BB7" w:rsidRPr="005A69B2" w:rsidRDefault="009C5BB7" w:rsidP="009C5BB7">
      <w:pPr>
        <w:pStyle w:val="SectionHeadersMIAX"/>
        <w:spacing w:before="0" w:line="276" w:lineRule="auto"/>
        <w:rPr>
          <w:rFonts w:cs="Helvetica"/>
          <w:sz w:val="22"/>
          <w:szCs w:val="22"/>
        </w:rPr>
      </w:pPr>
      <w:bookmarkStart w:id="0" w:name="_Toc29148602"/>
      <w:bookmarkStart w:id="1" w:name="_GoBack"/>
      <w:r w:rsidRPr="005A69B2">
        <w:rPr>
          <w:rFonts w:cs="Helvetica"/>
          <w:sz w:val="22"/>
          <w:szCs w:val="22"/>
        </w:rPr>
        <w:t xml:space="preserve">MIAX Pearl Equities Exchange </w:t>
      </w:r>
      <w:r w:rsidR="00C662C2" w:rsidRPr="005A69B2">
        <w:rPr>
          <w:rFonts w:cs="Helvetica"/>
          <w:sz w:val="22"/>
          <w:szCs w:val="22"/>
        </w:rPr>
        <w:t>Product</w:t>
      </w:r>
      <w:r w:rsidR="00540890" w:rsidRPr="005A69B2">
        <w:rPr>
          <w:rFonts w:cs="Helvetica"/>
          <w:sz w:val="22"/>
          <w:szCs w:val="22"/>
        </w:rPr>
        <w:t xml:space="preserve"> Circular 202</w:t>
      </w:r>
      <w:r w:rsidR="003C212A">
        <w:rPr>
          <w:rFonts w:cs="Helvetica"/>
          <w:sz w:val="22"/>
          <w:szCs w:val="22"/>
        </w:rPr>
        <w:t>2</w:t>
      </w:r>
      <w:r w:rsidR="00AE35A2" w:rsidRPr="005A69B2">
        <w:rPr>
          <w:rFonts w:cs="Helvetica"/>
          <w:sz w:val="22"/>
          <w:szCs w:val="22"/>
        </w:rPr>
        <w:t>-2</w:t>
      </w:r>
      <w:r w:rsidR="00E819A7">
        <w:rPr>
          <w:rFonts w:cs="Helvetica"/>
          <w:sz w:val="22"/>
          <w:szCs w:val="22"/>
        </w:rPr>
        <w:t>9</w:t>
      </w:r>
      <w:r w:rsidR="003C0F4B">
        <w:rPr>
          <w:rFonts w:cs="Helvetica"/>
          <w:sz w:val="22"/>
          <w:szCs w:val="22"/>
        </w:rPr>
        <w:t>31</w:t>
      </w:r>
    </w:p>
    <w:bookmarkEnd w:id="1"/>
    <w:p w14:paraId="5EBD7F5E" w14:textId="77777777" w:rsidR="004054F6" w:rsidRPr="005A69B2" w:rsidRDefault="004054F6" w:rsidP="004054F6">
      <w:pPr>
        <w:pStyle w:val="SectionHeadersMIAX"/>
        <w:spacing w:before="0" w:line="276" w:lineRule="auto"/>
        <w:rPr>
          <w:rFonts w:cs="Helvetica"/>
          <w:sz w:val="22"/>
          <w:szCs w:val="22"/>
        </w:rPr>
      </w:pPr>
    </w:p>
    <w:p w14:paraId="26CC3083" w14:textId="22A919C4" w:rsidR="004054F6" w:rsidRPr="002F712A" w:rsidRDefault="004054F6" w:rsidP="004054F6">
      <w:pPr>
        <w:pStyle w:val="Heading1"/>
        <w:spacing w:line="276" w:lineRule="auto"/>
        <w:rPr>
          <w:rFonts w:cs="Helvetica"/>
          <w:color w:val="3C4038" w:themeColor="text2" w:themeShade="40"/>
          <w:sz w:val="22"/>
          <w:szCs w:val="22"/>
        </w:rPr>
      </w:pPr>
      <w:r w:rsidRPr="00B46010">
        <w:rPr>
          <w:rFonts w:cs="Helvetica"/>
          <w:color w:val="3C4038" w:themeColor="text2" w:themeShade="40"/>
          <w:sz w:val="22"/>
          <w:szCs w:val="22"/>
        </w:rPr>
        <w:t>DATE:</w:t>
      </w:r>
      <w:r w:rsidRPr="00B46010">
        <w:rPr>
          <w:rFonts w:cs="Helvetica"/>
          <w:color w:val="3C4038" w:themeColor="text2" w:themeShade="40"/>
          <w:sz w:val="22"/>
          <w:szCs w:val="22"/>
        </w:rPr>
        <w:tab/>
      </w:r>
      <w:r w:rsidRPr="00B46010">
        <w:rPr>
          <w:rFonts w:cs="Helvetica"/>
          <w:color w:val="3C4038" w:themeColor="text2" w:themeShade="40"/>
          <w:sz w:val="22"/>
          <w:szCs w:val="22"/>
        </w:rPr>
        <w:tab/>
      </w:r>
      <w:r w:rsidR="003C0F4B">
        <w:rPr>
          <w:rFonts w:cs="Helvetica"/>
          <w:color w:val="3C4038" w:themeColor="text2" w:themeShade="40"/>
          <w:sz w:val="22"/>
          <w:szCs w:val="22"/>
        </w:rPr>
        <w:t xml:space="preserve">June </w:t>
      </w:r>
      <w:r w:rsidR="00E819A7">
        <w:rPr>
          <w:rFonts w:cs="Helvetica"/>
          <w:color w:val="3C4038" w:themeColor="text2" w:themeShade="40"/>
          <w:sz w:val="22"/>
          <w:szCs w:val="22"/>
        </w:rPr>
        <w:t>1</w:t>
      </w:r>
      <w:r w:rsidR="003C0F4B">
        <w:rPr>
          <w:rFonts w:cs="Helvetica"/>
          <w:color w:val="3C4038" w:themeColor="text2" w:themeShade="40"/>
          <w:sz w:val="22"/>
          <w:szCs w:val="22"/>
        </w:rPr>
        <w:t>0</w:t>
      </w:r>
      <w:r w:rsidR="00A13B5C">
        <w:rPr>
          <w:rFonts w:cs="Helvetica"/>
          <w:color w:val="3C4038" w:themeColor="text2" w:themeShade="40"/>
          <w:sz w:val="22"/>
          <w:szCs w:val="22"/>
        </w:rPr>
        <w:t>, 2022</w:t>
      </w:r>
    </w:p>
    <w:p w14:paraId="026DD2A2" w14:textId="77777777" w:rsidR="004054F6" w:rsidRPr="002F712A" w:rsidRDefault="004054F6" w:rsidP="004054F6">
      <w:pPr>
        <w:pStyle w:val="BODYMIAX"/>
        <w:ind w:left="0"/>
        <w:rPr>
          <w:rFonts w:cs="Helvetica"/>
          <w:b/>
          <w:bCs/>
          <w:color w:val="3C4038" w:themeColor="text2" w:themeShade="40"/>
          <w:sz w:val="22"/>
          <w:szCs w:val="22"/>
        </w:rPr>
      </w:pPr>
    </w:p>
    <w:p w14:paraId="4A363770" w14:textId="464506BA" w:rsidR="004054F6" w:rsidRPr="002F712A" w:rsidRDefault="004054F6" w:rsidP="004054F6">
      <w:pPr>
        <w:pStyle w:val="BODYMIAX"/>
        <w:ind w:left="0"/>
        <w:rPr>
          <w:rFonts w:cs="Helvetica"/>
          <w:b/>
          <w:bCs/>
          <w:color w:val="3C4038" w:themeColor="text2" w:themeShade="40"/>
          <w:sz w:val="22"/>
          <w:szCs w:val="22"/>
        </w:rPr>
      </w:pPr>
      <w:r w:rsidRPr="002F712A">
        <w:rPr>
          <w:rFonts w:cs="Helvetica"/>
          <w:b/>
          <w:bCs/>
          <w:color w:val="3C4038" w:themeColor="text2" w:themeShade="40"/>
          <w:sz w:val="22"/>
          <w:szCs w:val="22"/>
        </w:rPr>
        <w:t>TO:</w:t>
      </w:r>
      <w:r w:rsidRPr="002F712A">
        <w:rPr>
          <w:rFonts w:cs="Helvetica"/>
          <w:b/>
          <w:bCs/>
          <w:color w:val="3C4038" w:themeColor="text2" w:themeShade="40"/>
          <w:sz w:val="22"/>
          <w:szCs w:val="22"/>
        </w:rPr>
        <w:tab/>
      </w:r>
      <w:r w:rsidRPr="002F712A">
        <w:rPr>
          <w:rFonts w:cs="Helvetica"/>
          <w:b/>
          <w:bCs/>
          <w:color w:val="3C4038" w:themeColor="text2" w:themeShade="40"/>
          <w:sz w:val="22"/>
          <w:szCs w:val="22"/>
        </w:rPr>
        <w:tab/>
      </w:r>
      <w:r w:rsidR="00BD40E1" w:rsidRPr="002F712A">
        <w:rPr>
          <w:rFonts w:cs="Helvetica"/>
          <w:b/>
          <w:bCs/>
          <w:color w:val="3C4038" w:themeColor="text2" w:themeShade="40"/>
          <w:sz w:val="22"/>
          <w:szCs w:val="22"/>
        </w:rPr>
        <w:t>MIAX Pearl Equities Members</w:t>
      </w:r>
    </w:p>
    <w:bookmarkEnd w:id="0"/>
    <w:p w14:paraId="1CF9B270" w14:textId="77777777" w:rsidR="004054F6" w:rsidRPr="002F712A" w:rsidRDefault="004054F6" w:rsidP="004054F6">
      <w:pPr>
        <w:rPr>
          <w:rFonts w:ascii="Helvetica" w:hAnsi="Helvetica" w:cs="Helvetica"/>
          <w:b/>
          <w:bCs/>
          <w:color w:val="3C4038" w:themeColor="text2" w:themeShade="40"/>
          <w:sz w:val="22"/>
          <w:szCs w:val="22"/>
        </w:rPr>
      </w:pPr>
    </w:p>
    <w:p w14:paraId="323F28A3" w14:textId="62374820" w:rsidR="004054F6" w:rsidRPr="002F712A" w:rsidRDefault="005A69B2" w:rsidP="004054F6">
      <w:pPr>
        <w:pStyle w:val="BulletMIAX"/>
        <w:numPr>
          <w:ilvl w:val="0"/>
          <w:numId w:val="0"/>
        </w:numPr>
        <w:rPr>
          <w:rFonts w:cs="Helvetica"/>
          <w:b/>
          <w:bCs/>
          <w:color w:val="3C4038" w:themeColor="text2" w:themeShade="40"/>
          <w:sz w:val="22"/>
          <w:szCs w:val="22"/>
        </w:rPr>
      </w:pPr>
      <w:r w:rsidRPr="002F712A">
        <w:rPr>
          <w:rFonts w:cs="Helvetica"/>
          <w:b/>
          <w:bCs/>
          <w:color w:val="3C4038" w:themeColor="text2" w:themeShade="40"/>
          <w:sz w:val="22"/>
          <w:szCs w:val="22"/>
        </w:rPr>
        <w:t>FROM:</w:t>
      </w:r>
      <w:r w:rsidRPr="002F712A">
        <w:rPr>
          <w:rFonts w:cs="Helvetica"/>
          <w:b/>
          <w:bCs/>
          <w:color w:val="3C4038" w:themeColor="text2" w:themeShade="40"/>
          <w:sz w:val="22"/>
          <w:szCs w:val="22"/>
        </w:rPr>
        <w:tab/>
      </w:r>
      <w:r w:rsidR="00BD40E1" w:rsidRPr="002F712A">
        <w:rPr>
          <w:rFonts w:cs="Helvetica"/>
          <w:b/>
          <w:bCs/>
          <w:color w:val="3C4038" w:themeColor="text2" w:themeShade="40"/>
          <w:sz w:val="22"/>
          <w:szCs w:val="22"/>
        </w:rPr>
        <w:t>MIAX Pearl Equities Listings Department</w:t>
      </w:r>
    </w:p>
    <w:p w14:paraId="3C06C6AA" w14:textId="77777777" w:rsidR="004054F6" w:rsidRPr="002F712A" w:rsidRDefault="004054F6" w:rsidP="004054F6">
      <w:pPr>
        <w:pStyle w:val="BulletMIAX"/>
        <w:numPr>
          <w:ilvl w:val="0"/>
          <w:numId w:val="0"/>
        </w:numPr>
        <w:rPr>
          <w:rFonts w:cs="Helvetica"/>
          <w:b/>
          <w:bCs/>
          <w:color w:val="3C4038" w:themeColor="text2" w:themeShade="40"/>
          <w:sz w:val="22"/>
          <w:szCs w:val="22"/>
        </w:rPr>
      </w:pPr>
    </w:p>
    <w:p w14:paraId="2FC5FDCB" w14:textId="4250AC9A" w:rsidR="005E107F" w:rsidRPr="00E749D7" w:rsidRDefault="004054F6" w:rsidP="00D37FB3">
      <w:pPr>
        <w:pStyle w:val="BODYMIAX"/>
        <w:spacing w:line="240" w:lineRule="auto"/>
        <w:ind w:left="0"/>
        <w:rPr>
          <w:rFonts w:cs="Helvetica"/>
          <w:b/>
          <w:color w:val="3C4038" w:themeColor="text2" w:themeShade="40"/>
          <w:sz w:val="22"/>
          <w:szCs w:val="22"/>
        </w:rPr>
      </w:pPr>
      <w:r w:rsidRPr="002F712A">
        <w:rPr>
          <w:rFonts w:cs="Helvetica"/>
          <w:b/>
          <w:bCs/>
          <w:color w:val="3C4038" w:themeColor="text2" w:themeShade="40"/>
          <w:sz w:val="22"/>
          <w:szCs w:val="22"/>
        </w:rPr>
        <w:t>RE:</w:t>
      </w:r>
      <w:r w:rsidRPr="002F712A">
        <w:rPr>
          <w:rFonts w:cs="Helvetica"/>
          <w:b/>
          <w:bCs/>
          <w:color w:val="3C4038" w:themeColor="text2" w:themeShade="40"/>
          <w:sz w:val="22"/>
          <w:szCs w:val="22"/>
        </w:rPr>
        <w:tab/>
      </w:r>
      <w:r w:rsidR="005E107F" w:rsidRPr="002F712A">
        <w:rPr>
          <w:rFonts w:cs="Helvetica"/>
          <w:b/>
          <w:bCs/>
          <w:color w:val="3C4038" w:themeColor="text2" w:themeShade="40"/>
          <w:sz w:val="22"/>
          <w:szCs w:val="22"/>
        </w:rPr>
        <w:tab/>
      </w:r>
      <w:r w:rsidR="003C0F4B">
        <w:rPr>
          <w:b/>
          <w:sz w:val="22"/>
          <w:szCs w:val="22"/>
        </w:rPr>
        <w:t>Pacer Funds- SHPP and TRFK</w:t>
      </w:r>
    </w:p>
    <w:p w14:paraId="0624544F" w14:textId="57925D84" w:rsidR="005B304C" w:rsidRPr="002F712A" w:rsidRDefault="005B304C" w:rsidP="00D37FB3">
      <w:pPr>
        <w:pStyle w:val="BODYMIAX"/>
        <w:spacing w:line="240" w:lineRule="auto"/>
        <w:ind w:left="0"/>
        <w:rPr>
          <w:rFonts w:cs="Helvetica"/>
          <w:b/>
          <w:color w:val="3C4038" w:themeColor="text2" w:themeShade="40"/>
          <w:sz w:val="22"/>
          <w:szCs w:val="22"/>
          <w:shd w:val="clear" w:color="auto" w:fill="FFFFFF"/>
        </w:rPr>
      </w:pPr>
      <w:r w:rsidRPr="002F712A">
        <w:rPr>
          <w:rFonts w:cs="Helvetica"/>
          <w:b/>
          <w:color w:val="3C4038" w:themeColor="text2" w:themeShade="40"/>
          <w:sz w:val="22"/>
          <w:szCs w:val="22"/>
        </w:rPr>
        <w:tab/>
      </w:r>
      <w:r w:rsidRPr="002F712A">
        <w:rPr>
          <w:rFonts w:cs="Helvetica"/>
          <w:b/>
          <w:color w:val="3C4038" w:themeColor="text2" w:themeShade="40"/>
          <w:sz w:val="22"/>
          <w:szCs w:val="22"/>
        </w:rPr>
        <w:tab/>
      </w:r>
    </w:p>
    <w:p w14:paraId="1FCEE485" w14:textId="5363F16C" w:rsidR="00726035" w:rsidRPr="00B46010" w:rsidRDefault="00726035" w:rsidP="00726035">
      <w:pPr>
        <w:pStyle w:val="BulletMIAX"/>
        <w:numPr>
          <w:ilvl w:val="0"/>
          <w:numId w:val="0"/>
        </w:numPr>
        <w:ind w:left="1440" w:hanging="1440"/>
        <w:rPr>
          <w:rFonts w:cs="Helvetica"/>
          <w:b/>
          <w:bCs/>
          <w:color w:val="auto"/>
          <w:sz w:val="22"/>
          <w:szCs w:val="22"/>
        </w:rPr>
      </w:pPr>
      <w:r w:rsidRPr="00B46010">
        <w:rPr>
          <w:rFonts w:cs="Helvetica"/>
          <w:b/>
          <w:bCs/>
          <w:noProof/>
          <w:color w:val="auto"/>
          <w:sz w:val="22"/>
          <w:szCs w:val="22"/>
        </w:rPr>
        <mc:AlternateContent>
          <mc:Choice Requires="wps">
            <w:drawing>
              <wp:anchor distT="0" distB="0" distL="114300" distR="114300" simplePos="0" relativeHeight="251659264" behindDoc="0" locked="0" layoutInCell="1" allowOverlap="1" wp14:anchorId="749468EB" wp14:editId="01FC5382">
                <wp:simplePos x="0" y="0"/>
                <wp:positionH relativeFrom="margin">
                  <wp:align>center</wp:align>
                </wp:positionH>
                <wp:positionV relativeFrom="paragraph">
                  <wp:posOffset>163830</wp:posOffset>
                </wp:positionV>
                <wp:extent cx="6629400" cy="9144"/>
                <wp:effectExtent l="0" t="0" r="19050" b="29210"/>
                <wp:wrapNone/>
                <wp:docPr id="1" name="Straight Connector 1"/>
                <wp:cNvGraphicFramePr/>
                <a:graphic xmlns:a="http://schemas.openxmlformats.org/drawingml/2006/main">
                  <a:graphicData uri="http://schemas.microsoft.com/office/word/2010/wordprocessingShape">
                    <wps:wsp>
                      <wps:cNvCnPr/>
                      <wps:spPr>
                        <a:xfrm>
                          <a:off x="0" y="0"/>
                          <a:ext cx="6629400" cy="9144"/>
                        </a:xfrm>
                        <a:prstGeom prst="line">
                          <a:avLst/>
                        </a:prstGeom>
                        <a:ln w="15875">
                          <a:solidFill>
                            <a:srgbClr val="4241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F3A160E"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9pt" to="522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" strokecolor="#424143" strokeweight="1.25pt">
                <v:stroke joinstyle="miter"/>
                <w10:wrap anchorx="margin"/>
              </v:line>
            </w:pict>
          </mc:Fallback>
        </mc:AlternateContent>
      </w:r>
    </w:p>
    <w:p w14:paraId="25BB8FDD" w14:textId="023E06B0" w:rsidR="00726035" w:rsidRPr="00B46010" w:rsidRDefault="00726035" w:rsidP="00726035">
      <w:pPr>
        <w:pStyle w:val="BulletMIAX"/>
        <w:numPr>
          <w:ilvl w:val="0"/>
          <w:numId w:val="0"/>
        </w:numPr>
        <w:ind w:left="1440" w:hanging="1440"/>
        <w:rPr>
          <w:rFonts w:cs="Helvetica"/>
          <w:b/>
          <w:bCs/>
          <w:color w:val="auto"/>
          <w:sz w:val="22"/>
          <w:szCs w:val="22"/>
        </w:rPr>
      </w:pPr>
    </w:p>
    <w:p w14:paraId="7AC51CD5" w14:textId="20A10472" w:rsidR="004054F6" w:rsidRDefault="008E23B3" w:rsidP="00197835">
      <w:pPr>
        <w:pStyle w:val="BulletMIAX"/>
        <w:numPr>
          <w:ilvl w:val="0"/>
          <w:numId w:val="0"/>
        </w:numPr>
        <w:spacing w:line="240" w:lineRule="auto"/>
        <w:jc w:val="both"/>
        <w:rPr>
          <w:rFonts w:cs="Helvetica"/>
          <w:color w:val="3C4038" w:themeColor="text2" w:themeShade="40"/>
          <w:sz w:val="22"/>
          <w:szCs w:val="22"/>
        </w:rPr>
      </w:pPr>
      <w:r w:rsidRPr="00B46010">
        <w:rPr>
          <w:rFonts w:cs="Helvetica"/>
          <w:color w:val="3C4038" w:themeColor="text2" w:themeShade="40"/>
          <w:sz w:val="22"/>
          <w:szCs w:val="22"/>
        </w:rPr>
        <w:t>This Product Circular is being issued to advise you that the following security has been approved for trading pursuant to unlisted trading privileges (“UTP”) on the Exchange as a UTP Derivative Security pursuant to Exchange Rule 2900</w:t>
      </w:r>
      <w:r w:rsidR="00972E75">
        <w:rPr>
          <w:rFonts w:cs="Helvetica"/>
          <w:color w:val="3C4038" w:themeColor="text2" w:themeShade="40"/>
          <w:sz w:val="22"/>
          <w:szCs w:val="22"/>
        </w:rPr>
        <w:t>.</w:t>
      </w:r>
    </w:p>
    <w:p w14:paraId="5513D976" w14:textId="12F22D6D" w:rsidR="0069093B" w:rsidRDefault="0069093B" w:rsidP="00197835">
      <w:pPr>
        <w:pStyle w:val="BulletMIAX"/>
        <w:numPr>
          <w:ilvl w:val="0"/>
          <w:numId w:val="0"/>
        </w:numPr>
        <w:spacing w:line="240" w:lineRule="auto"/>
        <w:jc w:val="both"/>
        <w:rPr>
          <w:rFonts w:cs="Helvetica"/>
          <w:color w:val="3C4038" w:themeColor="text2" w:themeShade="40"/>
          <w:sz w:val="22"/>
          <w:szCs w:val="22"/>
        </w:rPr>
      </w:pPr>
    </w:p>
    <w:p w14:paraId="6FC574CE" w14:textId="5BA5A76A" w:rsidR="0069093B" w:rsidRPr="0069093B" w:rsidRDefault="0069093B" w:rsidP="0069093B">
      <w:pPr>
        <w:pStyle w:val="BulletMIAX"/>
        <w:numPr>
          <w:ilvl w:val="0"/>
          <w:numId w:val="0"/>
        </w:numPr>
        <w:spacing w:line="240" w:lineRule="auto"/>
        <w:ind w:left="720" w:firstLine="720"/>
        <w:rPr>
          <w:rFonts w:cs="Helvetica"/>
          <w:color w:val="302F30" w:themeColor="text1" w:themeShade="BF"/>
          <w:sz w:val="22"/>
          <w:szCs w:val="22"/>
        </w:rPr>
      </w:pPr>
      <w:r w:rsidRPr="0069093B">
        <w:rPr>
          <w:rFonts w:cs="Helvetica"/>
          <w:b/>
          <w:color w:val="302F30" w:themeColor="text1" w:themeShade="BF"/>
          <w:sz w:val="22"/>
          <w:szCs w:val="22"/>
          <w:u w:val="single"/>
        </w:rPr>
        <w:t>Security (the “Fund”)</w:t>
      </w:r>
      <w:r w:rsidRPr="0069093B">
        <w:rPr>
          <w:rFonts w:cs="Helvetica"/>
          <w:color w:val="302F30" w:themeColor="text1" w:themeShade="BF"/>
          <w:sz w:val="22"/>
          <w:szCs w:val="22"/>
        </w:rPr>
        <w:tab/>
      </w:r>
      <w:r w:rsidRPr="0069093B">
        <w:rPr>
          <w:rFonts w:cs="Helvetica"/>
          <w:color w:val="302F30" w:themeColor="text1" w:themeShade="BF"/>
          <w:sz w:val="22"/>
          <w:szCs w:val="22"/>
        </w:rPr>
        <w:tab/>
      </w:r>
      <w:r w:rsidRPr="0069093B">
        <w:rPr>
          <w:rFonts w:cs="Helvetica"/>
          <w:color w:val="302F30" w:themeColor="text1" w:themeShade="BF"/>
          <w:sz w:val="22"/>
          <w:szCs w:val="22"/>
        </w:rPr>
        <w:tab/>
      </w:r>
      <w:r w:rsidRPr="0069093B">
        <w:rPr>
          <w:rFonts w:cs="Helvetica"/>
          <w:color w:val="302F30" w:themeColor="text1" w:themeShade="BF"/>
          <w:sz w:val="22"/>
          <w:szCs w:val="22"/>
        </w:rPr>
        <w:tab/>
      </w:r>
      <w:r w:rsidRPr="0069093B">
        <w:rPr>
          <w:rFonts w:cs="Helvetica"/>
          <w:color w:val="302F30" w:themeColor="text1" w:themeShade="BF"/>
          <w:sz w:val="22"/>
          <w:szCs w:val="22"/>
        </w:rPr>
        <w:tab/>
      </w:r>
      <w:r w:rsidRPr="0069093B">
        <w:rPr>
          <w:rFonts w:cs="Helvetica"/>
          <w:color w:val="302F30" w:themeColor="text1" w:themeShade="BF"/>
          <w:sz w:val="22"/>
          <w:szCs w:val="22"/>
        </w:rPr>
        <w:tab/>
      </w:r>
      <w:r w:rsidRPr="0069093B">
        <w:rPr>
          <w:rFonts w:cs="Helvetica"/>
          <w:b/>
          <w:color w:val="302F30" w:themeColor="text1" w:themeShade="BF"/>
          <w:sz w:val="22"/>
          <w:szCs w:val="22"/>
          <w:u w:val="single"/>
        </w:rPr>
        <w:t>Symbol</w:t>
      </w:r>
    </w:p>
    <w:p w14:paraId="7BA6DD58" w14:textId="0AF575E1" w:rsidR="004054F6" w:rsidRDefault="004054F6" w:rsidP="00197835">
      <w:pPr>
        <w:pStyle w:val="BulletMIAX"/>
        <w:numPr>
          <w:ilvl w:val="0"/>
          <w:numId w:val="0"/>
        </w:numPr>
        <w:spacing w:line="240" w:lineRule="auto"/>
        <w:rPr>
          <w:rFonts w:cs="Helvetica"/>
          <w:color w:val="424143"/>
          <w:sz w:val="22"/>
          <w:szCs w:val="22"/>
        </w:rPr>
      </w:pPr>
    </w:p>
    <w:p w14:paraId="05B7F01D" w14:textId="72B46A9E" w:rsidR="0069093B" w:rsidRPr="003C0F4B" w:rsidRDefault="0069093B" w:rsidP="00197835">
      <w:pPr>
        <w:pStyle w:val="BulletMIAX"/>
        <w:numPr>
          <w:ilvl w:val="0"/>
          <w:numId w:val="0"/>
        </w:numPr>
        <w:spacing w:line="240" w:lineRule="auto"/>
        <w:rPr>
          <w:rFonts w:cs="Helvetica"/>
          <w:color w:val="3C4038" w:themeColor="text2" w:themeShade="40"/>
          <w:sz w:val="22"/>
          <w:szCs w:val="22"/>
        </w:rPr>
      </w:pPr>
      <w:r>
        <w:rPr>
          <w:rFonts w:cs="Helvetica"/>
          <w:color w:val="424143"/>
          <w:sz w:val="22"/>
          <w:szCs w:val="22"/>
        </w:rPr>
        <w:tab/>
      </w:r>
      <w:r w:rsidR="003C0F4B" w:rsidRPr="003C0F4B">
        <w:rPr>
          <w:sz w:val="22"/>
          <w:szCs w:val="22"/>
        </w:rPr>
        <w:t>Pacer Industrials and Logistics ETF</w:t>
      </w:r>
      <w:r w:rsidRPr="003C0F4B">
        <w:rPr>
          <w:rFonts w:cs="Helvetica"/>
          <w:color w:val="3C4038" w:themeColor="text2" w:themeShade="40"/>
          <w:sz w:val="22"/>
          <w:szCs w:val="22"/>
        </w:rPr>
        <w:tab/>
      </w:r>
      <w:r w:rsidRPr="003C0F4B">
        <w:rPr>
          <w:rFonts w:cs="Helvetica"/>
          <w:color w:val="3C4038" w:themeColor="text2" w:themeShade="40"/>
          <w:sz w:val="22"/>
          <w:szCs w:val="22"/>
        </w:rPr>
        <w:tab/>
      </w:r>
      <w:r w:rsidRPr="003C0F4B">
        <w:rPr>
          <w:rFonts w:cs="Helvetica"/>
          <w:color w:val="3C4038" w:themeColor="text2" w:themeShade="40"/>
          <w:sz w:val="22"/>
          <w:szCs w:val="22"/>
        </w:rPr>
        <w:tab/>
      </w:r>
      <w:r w:rsidRPr="003C0F4B">
        <w:rPr>
          <w:rFonts w:cs="Helvetica"/>
          <w:color w:val="3C4038" w:themeColor="text2" w:themeShade="40"/>
          <w:sz w:val="22"/>
          <w:szCs w:val="22"/>
        </w:rPr>
        <w:tab/>
      </w:r>
      <w:r w:rsidR="003C0F4B" w:rsidRPr="003C0F4B">
        <w:rPr>
          <w:rFonts w:cs="Helvetica"/>
          <w:color w:val="3C4038" w:themeColor="text2" w:themeShade="40"/>
          <w:sz w:val="22"/>
          <w:szCs w:val="22"/>
        </w:rPr>
        <w:t xml:space="preserve">                 </w:t>
      </w:r>
      <w:r w:rsidR="003C0F4B">
        <w:rPr>
          <w:rFonts w:cs="Helvetica"/>
          <w:color w:val="3C4038" w:themeColor="text2" w:themeShade="40"/>
          <w:sz w:val="22"/>
          <w:szCs w:val="22"/>
        </w:rPr>
        <w:t xml:space="preserve"> </w:t>
      </w:r>
      <w:r w:rsidR="003C0F4B" w:rsidRPr="003C0F4B">
        <w:rPr>
          <w:rFonts w:cs="Helvetica"/>
          <w:color w:val="3C4038" w:themeColor="text2" w:themeShade="40"/>
          <w:sz w:val="22"/>
          <w:szCs w:val="22"/>
        </w:rPr>
        <w:t xml:space="preserve">      </w:t>
      </w:r>
      <w:r w:rsidR="003C0F4B" w:rsidRPr="003C0F4B">
        <w:rPr>
          <w:sz w:val="22"/>
          <w:szCs w:val="22"/>
        </w:rPr>
        <w:t>SHPP</w:t>
      </w:r>
    </w:p>
    <w:p w14:paraId="0C4FFB31" w14:textId="3CC2E12E" w:rsidR="0069093B" w:rsidRPr="0069093B" w:rsidRDefault="0069093B" w:rsidP="00197835">
      <w:pPr>
        <w:pStyle w:val="BulletMIAX"/>
        <w:numPr>
          <w:ilvl w:val="0"/>
          <w:numId w:val="0"/>
        </w:numPr>
        <w:spacing w:line="240" w:lineRule="auto"/>
        <w:rPr>
          <w:rFonts w:cs="Helvetica"/>
          <w:color w:val="3C4038" w:themeColor="text2" w:themeShade="40"/>
          <w:sz w:val="22"/>
          <w:szCs w:val="22"/>
        </w:rPr>
      </w:pPr>
      <w:r w:rsidRPr="003C0F4B">
        <w:rPr>
          <w:rFonts w:cs="Helvetica"/>
          <w:color w:val="3C4038" w:themeColor="text2" w:themeShade="40"/>
          <w:sz w:val="22"/>
          <w:szCs w:val="22"/>
        </w:rPr>
        <w:tab/>
      </w:r>
      <w:r w:rsidR="003C0F4B" w:rsidRPr="003C0F4B">
        <w:rPr>
          <w:sz w:val="22"/>
          <w:szCs w:val="22"/>
        </w:rPr>
        <w:t>Pacer Data and Digital Revolution ETF</w:t>
      </w:r>
      <w:r w:rsidRPr="003C0F4B">
        <w:rPr>
          <w:rFonts w:cs="Helvetica"/>
          <w:color w:val="3C4038" w:themeColor="text2" w:themeShade="40"/>
          <w:sz w:val="22"/>
          <w:szCs w:val="22"/>
        </w:rPr>
        <w:tab/>
      </w:r>
      <w:r w:rsidRPr="003C0F4B">
        <w:rPr>
          <w:rFonts w:cs="Helvetica"/>
          <w:color w:val="3C4038" w:themeColor="text2" w:themeShade="40"/>
          <w:sz w:val="22"/>
          <w:szCs w:val="22"/>
        </w:rPr>
        <w:tab/>
      </w:r>
      <w:r w:rsidRPr="003C0F4B">
        <w:rPr>
          <w:rFonts w:cs="Helvetica"/>
          <w:color w:val="3C4038" w:themeColor="text2" w:themeShade="40"/>
          <w:sz w:val="22"/>
          <w:szCs w:val="22"/>
        </w:rPr>
        <w:tab/>
      </w:r>
      <w:r w:rsidR="003C0F4B">
        <w:rPr>
          <w:rFonts w:cs="Helvetica"/>
          <w:color w:val="3C4038" w:themeColor="text2" w:themeShade="40"/>
          <w:sz w:val="22"/>
          <w:szCs w:val="22"/>
        </w:rPr>
        <w:t xml:space="preserve">                     </w:t>
      </w:r>
      <w:r w:rsidR="003C0F4B" w:rsidRPr="003C0F4B">
        <w:rPr>
          <w:rFonts w:cs="Helvetica"/>
          <w:color w:val="3C4038" w:themeColor="text2" w:themeShade="40"/>
          <w:sz w:val="22"/>
          <w:szCs w:val="22"/>
        </w:rPr>
        <w:t xml:space="preserve"> </w:t>
      </w:r>
      <w:r w:rsidR="003C0F4B">
        <w:rPr>
          <w:rFonts w:cs="Helvetica"/>
          <w:color w:val="3C4038" w:themeColor="text2" w:themeShade="40"/>
          <w:sz w:val="22"/>
          <w:szCs w:val="22"/>
        </w:rPr>
        <w:t xml:space="preserve"> </w:t>
      </w:r>
      <w:r w:rsidR="003C0F4B" w:rsidRPr="003C0F4B">
        <w:rPr>
          <w:rFonts w:cs="Helvetica"/>
          <w:color w:val="3C4038" w:themeColor="text2" w:themeShade="40"/>
          <w:sz w:val="22"/>
          <w:szCs w:val="22"/>
        </w:rPr>
        <w:t xml:space="preserve"> </w:t>
      </w:r>
      <w:r w:rsidR="003C0F4B" w:rsidRPr="003C0F4B">
        <w:rPr>
          <w:sz w:val="22"/>
          <w:szCs w:val="22"/>
        </w:rPr>
        <w:t>TRFK</w:t>
      </w:r>
    </w:p>
    <w:p w14:paraId="2E5A1589" w14:textId="1C4C55DA" w:rsidR="0069093B" w:rsidRDefault="0069093B" w:rsidP="00197835">
      <w:pPr>
        <w:pStyle w:val="BulletMIAX"/>
        <w:numPr>
          <w:ilvl w:val="0"/>
          <w:numId w:val="0"/>
        </w:numPr>
        <w:spacing w:line="240" w:lineRule="auto"/>
        <w:rPr>
          <w:rFonts w:cs="Helvetica"/>
          <w:color w:val="424143"/>
          <w:sz w:val="22"/>
          <w:szCs w:val="22"/>
        </w:rPr>
      </w:pPr>
      <w:r w:rsidRPr="0069093B">
        <w:rPr>
          <w:rFonts w:cs="Helvetica"/>
          <w:color w:val="3C4038" w:themeColor="text2" w:themeShade="40"/>
          <w:sz w:val="22"/>
          <w:szCs w:val="22"/>
        </w:rPr>
        <w:tab/>
      </w:r>
    </w:p>
    <w:p w14:paraId="6B166BC0" w14:textId="77777777" w:rsidR="0069093B" w:rsidRPr="00B46010" w:rsidRDefault="0069093B" w:rsidP="00197835">
      <w:pPr>
        <w:pStyle w:val="BulletMIAX"/>
        <w:numPr>
          <w:ilvl w:val="0"/>
          <w:numId w:val="0"/>
        </w:numPr>
        <w:spacing w:line="240" w:lineRule="auto"/>
        <w:rPr>
          <w:rFonts w:cs="Helvetica"/>
          <w:color w:val="424143"/>
          <w:sz w:val="22"/>
          <w:szCs w:val="22"/>
        </w:rPr>
      </w:pPr>
    </w:p>
    <w:p w14:paraId="7DE47B9B" w14:textId="2FA97A36" w:rsidR="00D37FB3" w:rsidRPr="00B46010" w:rsidRDefault="0057276C" w:rsidP="00D37FB3">
      <w:pPr>
        <w:pStyle w:val="BODYMIAX"/>
        <w:spacing w:line="240" w:lineRule="auto"/>
        <w:ind w:left="0"/>
        <w:rPr>
          <w:rFonts w:cs="Helvetica"/>
          <w:b/>
          <w:color w:val="3C4038" w:themeColor="text2" w:themeShade="40"/>
          <w:sz w:val="22"/>
          <w:szCs w:val="22"/>
        </w:rPr>
      </w:pPr>
      <w:r w:rsidRPr="00B46010">
        <w:rPr>
          <w:rFonts w:cs="Helvetica"/>
          <w:b/>
          <w:color w:val="3C4038" w:themeColor="text2" w:themeShade="40"/>
          <w:sz w:val="22"/>
          <w:szCs w:val="22"/>
        </w:rPr>
        <w:t>Issuer/Trust</w:t>
      </w:r>
      <w:r w:rsidRPr="00B46010">
        <w:rPr>
          <w:rFonts w:cs="Helvetica"/>
          <w:color w:val="3C4038" w:themeColor="text2" w:themeShade="40"/>
          <w:sz w:val="22"/>
          <w:szCs w:val="22"/>
        </w:rPr>
        <w:t xml:space="preserve">: </w:t>
      </w:r>
      <w:r w:rsidR="003C0F4B" w:rsidRPr="003C0F4B">
        <w:rPr>
          <w:sz w:val="22"/>
          <w:szCs w:val="22"/>
        </w:rPr>
        <w:t>Pacer Funds</w:t>
      </w:r>
    </w:p>
    <w:p w14:paraId="2BAC06F1" w14:textId="0AFA53FF" w:rsidR="00134270" w:rsidRPr="00B46010" w:rsidRDefault="00134270" w:rsidP="00D37FB3">
      <w:pPr>
        <w:pStyle w:val="BODYMIAX"/>
        <w:spacing w:line="240" w:lineRule="auto"/>
        <w:ind w:left="0"/>
        <w:rPr>
          <w:rFonts w:cs="Helvetica"/>
          <w:color w:val="3C4038" w:themeColor="text2" w:themeShade="40"/>
          <w:sz w:val="22"/>
          <w:szCs w:val="22"/>
        </w:rPr>
      </w:pPr>
    </w:p>
    <w:p w14:paraId="242D9A83" w14:textId="0F15076F" w:rsidR="00995733" w:rsidRDefault="0057276C" w:rsidP="00995733">
      <w:pPr>
        <w:pStyle w:val="BulletMIAX"/>
        <w:numPr>
          <w:ilvl w:val="0"/>
          <w:numId w:val="0"/>
        </w:numPr>
        <w:spacing w:line="240" w:lineRule="auto"/>
        <w:jc w:val="both"/>
      </w:pPr>
      <w:r w:rsidRPr="00B46010">
        <w:rPr>
          <w:rFonts w:cs="Helvetica"/>
          <w:b/>
          <w:color w:val="3C4038" w:themeColor="text2" w:themeShade="40"/>
          <w:sz w:val="22"/>
          <w:szCs w:val="22"/>
        </w:rPr>
        <w:t>Issuer Website</w:t>
      </w:r>
      <w:r w:rsidR="00822E2C">
        <w:rPr>
          <w:rFonts w:cs="Helvetica"/>
          <w:color w:val="3C4038" w:themeColor="text2" w:themeShade="40"/>
          <w:sz w:val="22"/>
          <w:szCs w:val="22"/>
        </w:rPr>
        <w:t>:</w:t>
      </w:r>
      <w:r w:rsidR="00245A00">
        <w:t xml:space="preserve"> </w:t>
      </w:r>
      <w:hyperlink r:id="rId8" w:history="1">
        <w:r w:rsidR="003C0F4B" w:rsidRPr="00E56E93">
          <w:rPr>
            <w:rStyle w:val="Hyperlink"/>
            <w:sz w:val="20"/>
          </w:rPr>
          <w:t>www.paceretfs.com/media/</w:t>
        </w:r>
      </w:hyperlink>
    </w:p>
    <w:p w14:paraId="333F5D46" w14:textId="77777777" w:rsidR="00134270" w:rsidRPr="00B46010" w:rsidRDefault="00134270" w:rsidP="00995733">
      <w:pPr>
        <w:pStyle w:val="BulletMIAX"/>
        <w:numPr>
          <w:ilvl w:val="0"/>
          <w:numId w:val="0"/>
        </w:numPr>
        <w:spacing w:line="240" w:lineRule="auto"/>
        <w:jc w:val="both"/>
        <w:rPr>
          <w:rFonts w:cs="Helvetica"/>
          <w:b/>
          <w:color w:val="3C4038" w:themeColor="text2" w:themeShade="40"/>
          <w:sz w:val="22"/>
          <w:szCs w:val="22"/>
        </w:rPr>
      </w:pPr>
    </w:p>
    <w:p w14:paraId="2F69E147" w14:textId="5379F81B" w:rsidR="00D5496B" w:rsidRPr="00B46010" w:rsidRDefault="0057276C" w:rsidP="00D5496B">
      <w:pPr>
        <w:shd w:val="clear" w:color="auto" w:fill="FFFFFF"/>
        <w:rPr>
          <w:rFonts w:ascii="Helvetica" w:hAnsi="Helvetica" w:cs="Helvetica"/>
          <w:color w:val="3C4038" w:themeColor="text2" w:themeShade="40"/>
          <w:sz w:val="22"/>
          <w:szCs w:val="22"/>
        </w:rPr>
      </w:pPr>
      <w:r w:rsidRPr="00B46010">
        <w:rPr>
          <w:rFonts w:ascii="Helvetica" w:hAnsi="Helvetica" w:cs="Helvetica"/>
          <w:b/>
          <w:color w:val="3C4038" w:themeColor="text2" w:themeShade="40"/>
          <w:sz w:val="22"/>
          <w:szCs w:val="22"/>
        </w:rPr>
        <w:t>Primary Listing Exchange</w:t>
      </w:r>
      <w:r w:rsidR="00E07AFE" w:rsidRPr="00B46010">
        <w:rPr>
          <w:rFonts w:ascii="Helvetica" w:hAnsi="Helvetica" w:cs="Helvetica"/>
          <w:color w:val="3C4038" w:themeColor="text2" w:themeShade="40"/>
          <w:sz w:val="22"/>
          <w:szCs w:val="22"/>
        </w:rPr>
        <w:t xml:space="preserve">: </w:t>
      </w:r>
      <w:r w:rsidR="003C0F4B">
        <w:rPr>
          <w:rFonts w:ascii="Helvetica" w:hAnsi="Helvetica" w:cs="Helvetica"/>
          <w:color w:val="3C4038" w:themeColor="text2" w:themeShade="40"/>
          <w:sz w:val="22"/>
          <w:szCs w:val="22"/>
          <w:shd w:val="clear" w:color="auto" w:fill="FFFFFF"/>
        </w:rPr>
        <w:t>NYSE Arca</w:t>
      </w:r>
    </w:p>
    <w:p w14:paraId="56D9F37B" w14:textId="30253252" w:rsidR="00B46010" w:rsidRPr="005A69B2" w:rsidRDefault="00B46010" w:rsidP="00197835">
      <w:pPr>
        <w:pStyle w:val="BulletMIAX"/>
        <w:numPr>
          <w:ilvl w:val="0"/>
          <w:numId w:val="0"/>
        </w:numPr>
        <w:spacing w:line="240" w:lineRule="auto"/>
        <w:rPr>
          <w:rFonts w:cs="Helvetica"/>
          <w:color w:val="3C4038" w:themeColor="text2" w:themeShade="40"/>
          <w:sz w:val="22"/>
          <w:szCs w:val="22"/>
        </w:rPr>
      </w:pPr>
    </w:p>
    <w:p w14:paraId="225CE0A5" w14:textId="5D7DCDC0" w:rsidR="00C5412F" w:rsidRDefault="009D64E0" w:rsidP="004958CC">
      <w:pPr>
        <w:pStyle w:val="BulletMIAX"/>
        <w:numPr>
          <w:ilvl w:val="0"/>
          <w:numId w:val="0"/>
        </w:numPr>
        <w:spacing w:line="240" w:lineRule="auto"/>
        <w:jc w:val="both"/>
        <w:rPr>
          <w:rFonts w:cs="Helvetica"/>
          <w:color w:val="3C4038" w:themeColor="text2" w:themeShade="40"/>
          <w:sz w:val="22"/>
          <w:szCs w:val="22"/>
        </w:rPr>
      </w:pPr>
      <w:r w:rsidRPr="005A69B2">
        <w:rPr>
          <w:rFonts w:cs="Helvetica"/>
          <w:color w:val="3C4038" w:themeColor="text2" w:themeShade="40"/>
          <w:sz w:val="22"/>
          <w:szCs w:val="22"/>
        </w:rPr>
        <w:t>The purpose of this Product Circular is to outline various rules and policies that will be applicable to trading in this new product pursuant to the Exchange’s unlisted trading privileges, as well as to provide certain characteristics and features of the Shares. For a more complete description of the Issuer, the Shares and the underlying market instruments or indexes, visit the Issuer Website, consult the Prospectus available on the Issuer Website, examine the Issuer Registration Statement or review the most current information bulletin issued by the Primary Listing Exchange. The Issuer Website, the Prospectus, the Issuer Registration Statement and the Primary Exchange Circular are hereafter collectively referred to as th</w:t>
      </w:r>
      <w:r w:rsidR="00134270" w:rsidRPr="005A69B2">
        <w:rPr>
          <w:rFonts w:cs="Helvetica"/>
          <w:color w:val="3C4038" w:themeColor="text2" w:themeShade="40"/>
          <w:sz w:val="22"/>
          <w:szCs w:val="22"/>
        </w:rPr>
        <w:t>e “Issuer Disclosure Materials.</w:t>
      </w:r>
    </w:p>
    <w:p w14:paraId="4F5E6DE1" w14:textId="227AC273" w:rsidR="0069093B" w:rsidRDefault="0069093B" w:rsidP="004958CC">
      <w:pPr>
        <w:pStyle w:val="BulletMIAX"/>
        <w:numPr>
          <w:ilvl w:val="0"/>
          <w:numId w:val="0"/>
        </w:numPr>
        <w:spacing w:line="240" w:lineRule="auto"/>
        <w:jc w:val="both"/>
        <w:rPr>
          <w:rFonts w:cs="Helvetica"/>
          <w:color w:val="3C4038" w:themeColor="text2" w:themeShade="40"/>
          <w:sz w:val="22"/>
          <w:szCs w:val="22"/>
        </w:rPr>
      </w:pPr>
    </w:p>
    <w:p w14:paraId="6CD3BFAA" w14:textId="77777777" w:rsidR="001570B2" w:rsidRDefault="001570B2" w:rsidP="00197835">
      <w:pPr>
        <w:pStyle w:val="BodyText"/>
        <w:widowControl/>
        <w:jc w:val="both"/>
        <w:rPr>
          <w:rFonts w:ascii="Helvetica" w:hAnsi="Helvetica" w:cs="Helvetica"/>
          <w:b/>
          <w:color w:val="3C4038" w:themeColor="text2" w:themeShade="40"/>
          <w:sz w:val="22"/>
          <w:szCs w:val="22"/>
          <w:u w:val="single"/>
        </w:rPr>
      </w:pPr>
    </w:p>
    <w:p w14:paraId="58A7B470" w14:textId="77777777" w:rsidR="001570B2" w:rsidRDefault="001570B2" w:rsidP="00197835">
      <w:pPr>
        <w:pStyle w:val="BodyText"/>
        <w:widowControl/>
        <w:jc w:val="both"/>
        <w:rPr>
          <w:rFonts w:ascii="Helvetica" w:hAnsi="Helvetica" w:cs="Helvetica"/>
          <w:b/>
          <w:color w:val="3C4038" w:themeColor="text2" w:themeShade="40"/>
          <w:sz w:val="22"/>
          <w:szCs w:val="22"/>
          <w:u w:val="single"/>
        </w:rPr>
      </w:pPr>
    </w:p>
    <w:p w14:paraId="1C64EDB5" w14:textId="77777777" w:rsidR="001570B2" w:rsidRDefault="001570B2" w:rsidP="00197835">
      <w:pPr>
        <w:pStyle w:val="BodyText"/>
        <w:widowControl/>
        <w:jc w:val="both"/>
        <w:rPr>
          <w:rFonts w:ascii="Helvetica" w:hAnsi="Helvetica" w:cs="Helvetica"/>
          <w:b/>
          <w:color w:val="3C4038" w:themeColor="text2" w:themeShade="40"/>
          <w:sz w:val="22"/>
          <w:szCs w:val="22"/>
          <w:u w:val="single"/>
        </w:rPr>
      </w:pPr>
    </w:p>
    <w:p w14:paraId="5F904418" w14:textId="77777777" w:rsidR="001570B2" w:rsidRDefault="001570B2" w:rsidP="00197835">
      <w:pPr>
        <w:pStyle w:val="BodyText"/>
        <w:widowControl/>
        <w:jc w:val="both"/>
        <w:rPr>
          <w:rFonts w:ascii="Helvetica" w:hAnsi="Helvetica" w:cs="Helvetica"/>
          <w:b/>
          <w:color w:val="3C4038" w:themeColor="text2" w:themeShade="40"/>
          <w:sz w:val="22"/>
          <w:szCs w:val="22"/>
          <w:u w:val="single"/>
        </w:rPr>
      </w:pPr>
    </w:p>
    <w:p w14:paraId="4F44880F" w14:textId="1C40086F" w:rsidR="009D64E0" w:rsidRDefault="009D64E0" w:rsidP="00197835">
      <w:pPr>
        <w:pStyle w:val="BodyText"/>
        <w:widowControl/>
        <w:jc w:val="both"/>
        <w:rPr>
          <w:rFonts w:ascii="Helvetica" w:hAnsi="Helvetica" w:cs="Helvetica"/>
          <w:b/>
          <w:color w:val="3C4038" w:themeColor="text2" w:themeShade="40"/>
          <w:sz w:val="22"/>
          <w:szCs w:val="22"/>
          <w:u w:val="single"/>
        </w:rPr>
      </w:pPr>
      <w:r w:rsidRPr="00571C63">
        <w:rPr>
          <w:rFonts w:ascii="Helvetica" w:hAnsi="Helvetica" w:cs="Helvetica"/>
          <w:b/>
          <w:color w:val="3C4038" w:themeColor="text2" w:themeShade="40"/>
          <w:sz w:val="22"/>
          <w:szCs w:val="22"/>
          <w:u w:val="single"/>
        </w:rPr>
        <w:t>Background Information on the Fund</w:t>
      </w:r>
    </w:p>
    <w:p w14:paraId="0C7141AC" w14:textId="6CDA552C" w:rsidR="0002392D" w:rsidRDefault="0002392D" w:rsidP="00197835">
      <w:pPr>
        <w:pStyle w:val="BodyText"/>
        <w:widowControl/>
        <w:jc w:val="both"/>
        <w:rPr>
          <w:rFonts w:ascii="Helvetica" w:hAnsi="Helvetica" w:cs="Helvetica"/>
          <w:color w:val="3C4038" w:themeColor="text2" w:themeShade="40"/>
          <w:sz w:val="22"/>
          <w:szCs w:val="22"/>
        </w:rPr>
      </w:pPr>
    </w:p>
    <w:p w14:paraId="3ACDBFD6" w14:textId="02B49D94" w:rsidR="0069093B" w:rsidRPr="003C0F4B" w:rsidRDefault="003C0F4B" w:rsidP="00197835">
      <w:pPr>
        <w:pStyle w:val="BodyText"/>
        <w:widowControl/>
        <w:jc w:val="both"/>
        <w:rPr>
          <w:rFonts w:ascii="Helvetica" w:hAnsi="Helvetica" w:cs="Helvetica"/>
          <w:sz w:val="22"/>
          <w:szCs w:val="22"/>
        </w:rPr>
      </w:pPr>
      <w:r w:rsidRPr="003C0F4B">
        <w:rPr>
          <w:rFonts w:ascii="Helvetica" w:hAnsi="Helvetica" w:cs="Helvetica"/>
          <w:sz w:val="22"/>
          <w:szCs w:val="22"/>
        </w:rPr>
        <w:lastRenderedPageBreak/>
        <w:t>The Pacer Funds (the “Trust”) is a management investment company registered under the Investment Company Act of 1940, as amended (the “1940 Act”), consisting of several investment portfolios. This circular relates only to the Funds listed above (each, a “Fund” and together, the “Funds”). The shares of the Fund are referred to herein as “Shares.”</w:t>
      </w:r>
    </w:p>
    <w:p w14:paraId="660DEA8A" w14:textId="77777777" w:rsidR="003C0F4B" w:rsidRPr="003C0F4B" w:rsidRDefault="003C0F4B" w:rsidP="00197835">
      <w:pPr>
        <w:pStyle w:val="BodyText"/>
        <w:widowControl/>
        <w:jc w:val="both"/>
        <w:rPr>
          <w:rFonts w:ascii="Helvetica" w:hAnsi="Helvetica" w:cs="Helvetica"/>
          <w:color w:val="3C4038" w:themeColor="text2" w:themeShade="40"/>
          <w:sz w:val="22"/>
          <w:szCs w:val="22"/>
        </w:rPr>
      </w:pPr>
    </w:p>
    <w:p w14:paraId="1AF7910F" w14:textId="5506123E" w:rsidR="003C0F4B" w:rsidRPr="003C0F4B" w:rsidRDefault="003C0F4B" w:rsidP="00197835">
      <w:pPr>
        <w:pStyle w:val="BodyText"/>
        <w:widowControl/>
        <w:jc w:val="both"/>
        <w:rPr>
          <w:rFonts w:ascii="Helvetica" w:hAnsi="Helvetica" w:cs="Helvetica"/>
          <w:b/>
          <w:sz w:val="22"/>
          <w:szCs w:val="22"/>
        </w:rPr>
      </w:pPr>
      <w:r w:rsidRPr="003C0F4B">
        <w:rPr>
          <w:rFonts w:ascii="Helvetica" w:hAnsi="Helvetica" w:cs="Helvetica"/>
          <w:b/>
          <w:sz w:val="22"/>
          <w:szCs w:val="22"/>
        </w:rPr>
        <w:t>Pacer Industrials and Logistics ETF:</w:t>
      </w:r>
    </w:p>
    <w:p w14:paraId="2212F74A" w14:textId="42A0F9D3" w:rsidR="0069093B" w:rsidRPr="003C0F4B" w:rsidRDefault="003C0F4B" w:rsidP="00197835">
      <w:pPr>
        <w:pStyle w:val="BodyText"/>
        <w:widowControl/>
        <w:jc w:val="both"/>
        <w:rPr>
          <w:rFonts w:ascii="Helvetica" w:hAnsi="Helvetica" w:cs="Helvetica"/>
          <w:sz w:val="22"/>
          <w:szCs w:val="22"/>
        </w:rPr>
      </w:pPr>
      <w:r w:rsidRPr="003C0F4B">
        <w:rPr>
          <w:rFonts w:ascii="Helvetica" w:hAnsi="Helvetica" w:cs="Helvetica"/>
          <w:sz w:val="22"/>
          <w:szCs w:val="22"/>
        </w:rPr>
        <w:t>The Pacer Industrials and Logistics ETF (the “Fund”) employs a “passive management” (or indexing) investment approach designed to track the total return performance, before fees and expenses, of the Pacer Global Supply Chain Infrastructure Index (the “Index”).</w:t>
      </w:r>
    </w:p>
    <w:p w14:paraId="1640C35A" w14:textId="77777777" w:rsidR="0069093B" w:rsidRPr="003C0F4B" w:rsidRDefault="0069093B" w:rsidP="00197835">
      <w:pPr>
        <w:pStyle w:val="BodyText"/>
        <w:widowControl/>
        <w:jc w:val="both"/>
        <w:rPr>
          <w:rFonts w:ascii="Helvetica" w:hAnsi="Helvetica" w:cs="Helvetica"/>
          <w:color w:val="3C4038" w:themeColor="text2" w:themeShade="40"/>
          <w:sz w:val="22"/>
          <w:szCs w:val="22"/>
        </w:rPr>
      </w:pPr>
    </w:p>
    <w:p w14:paraId="56E3508C" w14:textId="284A20BC" w:rsidR="003C0F4B" w:rsidRPr="003C0F4B" w:rsidRDefault="003C0F4B" w:rsidP="00197835">
      <w:pPr>
        <w:pStyle w:val="BodyText"/>
        <w:widowControl/>
        <w:jc w:val="both"/>
        <w:rPr>
          <w:rFonts w:ascii="Helvetica" w:hAnsi="Helvetica" w:cs="Helvetica"/>
          <w:b/>
          <w:sz w:val="22"/>
          <w:szCs w:val="22"/>
        </w:rPr>
      </w:pPr>
      <w:r w:rsidRPr="003C0F4B">
        <w:rPr>
          <w:rFonts w:ascii="Helvetica" w:hAnsi="Helvetica" w:cs="Helvetica"/>
          <w:b/>
          <w:sz w:val="22"/>
          <w:szCs w:val="22"/>
        </w:rPr>
        <w:t>Pacer Data and Digital Revolution ETF:</w:t>
      </w:r>
    </w:p>
    <w:p w14:paraId="3ED69D72" w14:textId="1BA67095" w:rsidR="003C0F4B" w:rsidRPr="003C0F4B" w:rsidRDefault="003C0F4B" w:rsidP="00197835">
      <w:pPr>
        <w:pStyle w:val="BodyText"/>
        <w:widowControl/>
        <w:jc w:val="both"/>
        <w:rPr>
          <w:rFonts w:ascii="Helvetica" w:hAnsi="Helvetica" w:cs="Helvetica"/>
          <w:sz w:val="22"/>
          <w:szCs w:val="22"/>
        </w:rPr>
      </w:pPr>
      <w:r w:rsidRPr="003C0F4B">
        <w:rPr>
          <w:rFonts w:ascii="Helvetica" w:hAnsi="Helvetica" w:cs="Helvetica"/>
          <w:sz w:val="22"/>
          <w:szCs w:val="22"/>
        </w:rPr>
        <w:t>The Pacer Data and Digital Revolution ETF (the “Fund”) employs a “passive management” (or indexing) investment approach designed to track the total return performance, before fees and expenses, of the Pacer Data Transmission and Communication Revolution Index (the “Index”).</w:t>
      </w:r>
    </w:p>
    <w:p w14:paraId="5B39C551" w14:textId="6E09AF0C" w:rsidR="003C0F4B" w:rsidRPr="003C0F4B" w:rsidRDefault="003C0F4B" w:rsidP="00197835">
      <w:pPr>
        <w:pStyle w:val="BodyText"/>
        <w:widowControl/>
        <w:jc w:val="both"/>
        <w:rPr>
          <w:rFonts w:ascii="Helvetica" w:hAnsi="Helvetica" w:cs="Helvetica"/>
          <w:sz w:val="22"/>
          <w:szCs w:val="22"/>
        </w:rPr>
      </w:pPr>
    </w:p>
    <w:p w14:paraId="048D49E9" w14:textId="110EC14C" w:rsidR="003C0F4B" w:rsidRPr="003C0F4B" w:rsidRDefault="003C0F4B" w:rsidP="00197835">
      <w:pPr>
        <w:pStyle w:val="BodyText"/>
        <w:widowControl/>
        <w:jc w:val="both"/>
        <w:rPr>
          <w:rFonts w:ascii="Helvetica" w:hAnsi="Helvetica" w:cs="Helvetica"/>
          <w:sz w:val="22"/>
          <w:szCs w:val="22"/>
        </w:rPr>
      </w:pPr>
      <w:r w:rsidRPr="003C0F4B">
        <w:rPr>
          <w:rFonts w:ascii="Helvetica" w:hAnsi="Helvetica" w:cs="Helvetica"/>
          <w:sz w:val="22"/>
          <w:szCs w:val="22"/>
        </w:rPr>
        <w:t>Each Fund will issue and redeem Shares on a continuous basis at their net asset value (“NAV”) only in large blocks of Shares called a “Creation Unit”, or multiples thereof (typically 20,000 to 100,000 Shares). Creation Units will be issued and redeemed principally in-kind for securities included in the underlying index. Except when aggregated in Creation Units, the Shares may not be redeemed with the Funds.</w:t>
      </w:r>
    </w:p>
    <w:p w14:paraId="7E1A28B1" w14:textId="40BC5FFC" w:rsidR="003C0F4B" w:rsidRPr="003C0F4B" w:rsidRDefault="003C0F4B" w:rsidP="00197835">
      <w:pPr>
        <w:pStyle w:val="BodyText"/>
        <w:widowControl/>
        <w:jc w:val="both"/>
        <w:rPr>
          <w:rFonts w:ascii="Helvetica" w:hAnsi="Helvetica" w:cs="Helvetica"/>
          <w:sz w:val="22"/>
          <w:szCs w:val="22"/>
        </w:rPr>
      </w:pPr>
    </w:p>
    <w:p w14:paraId="15BB1453" w14:textId="34FB7C8C" w:rsidR="003C0F4B" w:rsidRPr="003C0F4B" w:rsidRDefault="003C0F4B" w:rsidP="00197835">
      <w:pPr>
        <w:pStyle w:val="BodyText"/>
        <w:widowControl/>
        <w:jc w:val="both"/>
        <w:rPr>
          <w:rFonts w:ascii="Helvetica" w:hAnsi="Helvetica" w:cs="Helvetica"/>
          <w:sz w:val="22"/>
          <w:szCs w:val="22"/>
        </w:rPr>
      </w:pPr>
      <w:r w:rsidRPr="003C0F4B">
        <w:rPr>
          <w:rFonts w:ascii="Helvetica" w:hAnsi="Helvetica" w:cs="Helvetica"/>
          <w:sz w:val="22"/>
          <w:szCs w:val="22"/>
        </w:rPr>
        <w:t>Shares are held in book-entry form, which means that no Share certificates are issued. The Depository Trust Company or its nominee is the record owner of all outstanding Shares of each Fund and is recognized as the owner of all Shares for all purposes.</w:t>
      </w:r>
    </w:p>
    <w:p w14:paraId="2EE5E160" w14:textId="4B2FED66" w:rsidR="003C0F4B" w:rsidRPr="003C0F4B" w:rsidRDefault="003C0F4B" w:rsidP="00197835">
      <w:pPr>
        <w:pStyle w:val="BodyText"/>
        <w:widowControl/>
        <w:jc w:val="both"/>
        <w:rPr>
          <w:rFonts w:ascii="Helvetica" w:hAnsi="Helvetica" w:cs="Helvetica"/>
          <w:sz w:val="22"/>
          <w:szCs w:val="22"/>
        </w:rPr>
      </w:pPr>
    </w:p>
    <w:p w14:paraId="08B3312F" w14:textId="5A63ADEF" w:rsidR="003C0F4B" w:rsidRPr="003C0F4B" w:rsidRDefault="003C0F4B" w:rsidP="00197835">
      <w:pPr>
        <w:pStyle w:val="BodyText"/>
        <w:widowControl/>
        <w:jc w:val="both"/>
        <w:rPr>
          <w:rFonts w:ascii="Helvetica" w:hAnsi="Helvetica" w:cs="Helvetica"/>
          <w:b/>
          <w:sz w:val="22"/>
          <w:szCs w:val="22"/>
        </w:rPr>
      </w:pPr>
      <w:r w:rsidRPr="003C0F4B">
        <w:rPr>
          <w:rFonts w:ascii="Helvetica" w:hAnsi="Helvetica" w:cs="Helvetica"/>
          <w:sz w:val="22"/>
          <w:szCs w:val="22"/>
        </w:rPr>
        <w:t>The NAV per Share for each Fund is computed by dividing the value of the net assets of the Fund (i.e., the value of its total assets less total liabilities) by the total number of Shares outstanding. Expenses and fees are accrued daily and taken into account for purposes of determining NAV. The NAV of each Fund is determined each business day after the close of trading (ordinarily 4:00 p.m., Eastern Time or “ET”) of the New York Stock Exchange. Any assets or liabilities denominated in currencies other than the U.S. dollar are converted into U.S. dollars at the current market rates on the date of valuation as quoted by one or more sources. A major market data vendor will disseminate the Intraday Indicative Value (IIV) for the Shares of the fund through regular trading hours.</w:t>
      </w:r>
    </w:p>
    <w:p w14:paraId="3E77DBA3" w14:textId="77777777" w:rsidR="003C0F4B" w:rsidRDefault="003C0F4B" w:rsidP="00197835">
      <w:pPr>
        <w:pStyle w:val="BodyText"/>
        <w:widowControl/>
        <w:jc w:val="both"/>
      </w:pPr>
    </w:p>
    <w:p w14:paraId="019A5B7F" w14:textId="174B4A8E" w:rsidR="00484181" w:rsidRPr="005A69B2" w:rsidRDefault="00484181" w:rsidP="00197835">
      <w:pPr>
        <w:pStyle w:val="BodyText"/>
        <w:widowControl/>
        <w:jc w:val="both"/>
        <w:rPr>
          <w:rFonts w:ascii="Helvetica" w:hAnsi="Helvetica" w:cs="Helvetica"/>
          <w:b/>
          <w:color w:val="3C4038" w:themeColor="text2" w:themeShade="40"/>
          <w:sz w:val="22"/>
          <w:szCs w:val="22"/>
        </w:rPr>
      </w:pPr>
      <w:r w:rsidRPr="005A69B2">
        <w:rPr>
          <w:rFonts w:ascii="Helvetica" w:hAnsi="Helvetica" w:cs="Helvetica"/>
          <w:b/>
          <w:color w:val="3C4038" w:themeColor="text2" w:themeShade="40"/>
          <w:sz w:val="22"/>
          <w:szCs w:val="22"/>
          <w:u w:val="single"/>
        </w:rPr>
        <w:t>Principal Risks</w:t>
      </w:r>
    </w:p>
    <w:p w14:paraId="19B4D03B" w14:textId="77777777" w:rsidR="00484181" w:rsidRPr="005A69B2" w:rsidRDefault="00484181" w:rsidP="00197835">
      <w:pPr>
        <w:pStyle w:val="BodyText"/>
        <w:widowControl/>
        <w:jc w:val="both"/>
        <w:rPr>
          <w:rFonts w:ascii="Helvetica" w:hAnsi="Helvetica" w:cs="Helvetica"/>
          <w:color w:val="3C4038" w:themeColor="text2" w:themeShade="40"/>
          <w:sz w:val="22"/>
          <w:szCs w:val="22"/>
        </w:rPr>
      </w:pPr>
    </w:p>
    <w:p w14:paraId="48A52304" w14:textId="6DED5FEE" w:rsidR="00484181" w:rsidRPr="005A69B2" w:rsidRDefault="00484181" w:rsidP="00197835">
      <w:pPr>
        <w:pStyle w:val="BodyText"/>
        <w:widowControl/>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Interested persons are referred to the discussion in the prospectus for the Fund of the principal risks of an investment in the Fund. These include tracking error risk (factors causing a Fund’s performance to not match the performance of its underlying index), market trading risk (for example, trading halts, trading above or below net asset value), investment style risk, sector risk, investment approach risk, non- diversification risk, issuer-specific risk, management risk, concentration risk, equity securities risk, and passive investment risk.</w:t>
      </w:r>
    </w:p>
    <w:p w14:paraId="0FD1B3FB" w14:textId="715EF257" w:rsidR="00D7359C" w:rsidRPr="005A69B2" w:rsidRDefault="00D7359C" w:rsidP="00197835">
      <w:pPr>
        <w:pStyle w:val="BodyText"/>
        <w:widowControl/>
        <w:jc w:val="both"/>
        <w:rPr>
          <w:rFonts w:ascii="Helvetica" w:hAnsi="Helvetica" w:cs="Helvetica"/>
          <w:color w:val="3C4038" w:themeColor="text2" w:themeShade="40"/>
          <w:sz w:val="22"/>
          <w:szCs w:val="22"/>
        </w:rPr>
      </w:pPr>
    </w:p>
    <w:p w14:paraId="0146FD02" w14:textId="77777777" w:rsidR="00484181" w:rsidRPr="005A69B2" w:rsidRDefault="00484181" w:rsidP="00197835">
      <w:pPr>
        <w:pStyle w:val="BodyText"/>
        <w:widowControl/>
        <w:jc w:val="both"/>
        <w:rPr>
          <w:rFonts w:ascii="Helvetica" w:hAnsi="Helvetica" w:cs="Helvetica"/>
          <w:b/>
          <w:color w:val="3C4038" w:themeColor="text2" w:themeShade="40"/>
          <w:sz w:val="22"/>
          <w:szCs w:val="22"/>
        </w:rPr>
      </w:pPr>
      <w:bookmarkStart w:id="2" w:name="Exchange_Rules_Applicable_to_Trading_in_"/>
      <w:bookmarkEnd w:id="2"/>
      <w:r w:rsidRPr="005A69B2">
        <w:rPr>
          <w:rFonts w:ascii="Helvetica" w:hAnsi="Helvetica" w:cs="Helvetica"/>
          <w:b/>
          <w:color w:val="3C4038" w:themeColor="text2" w:themeShade="40"/>
          <w:sz w:val="22"/>
          <w:szCs w:val="22"/>
          <w:u w:val="single"/>
        </w:rPr>
        <w:t>Exchange Rules Applicable to Trading in the Shares</w:t>
      </w:r>
    </w:p>
    <w:p w14:paraId="1B64D3ED" w14:textId="77777777" w:rsidR="00484181" w:rsidRPr="005A69B2" w:rsidRDefault="00484181" w:rsidP="00197835">
      <w:pPr>
        <w:pStyle w:val="BodyText"/>
        <w:widowControl/>
        <w:jc w:val="both"/>
        <w:rPr>
          <w:rFonts w:ascii="Helvetica" w:hAnsi="Helvetica" w:cs="Helvetica"/>
          <w:color w:val="3C4038" w:themeColor="text2" w:themeShade="40"/>
          <w:sz w:val="22"/>
          <w:szCs w:val="22"/>
        </w:rPr>
      </w:pPr>
    </w:p>
    <w:p w14:paraId="1146C5B9" w14:textId="7ABB8425" w:rsidR="00860A4A" w:rsidRDefault="00484181" w:rsidP="00197835">
      <w:pPr>
        <w:pStyle w:val="BodyText"/>
        <w:widowControl/>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Trading in the Shares on MIAX PEARL is subject to MIAX PEARL trading rules.</w:t>
      </w:r>
    </w:p>
    <w:p w14:paraId="26FA0A23" w14:textId="425BF3BD" w:rsidR="00FE044A" w:rsidRDefault="00FE044A" w:rsidP="00197835">
      <w:pPr>
        <w:pStyle w:val="BodyText"/>
        <w:widowControl/>
        <w:jc w:val="both"/>
        <w:rPr>
          <w:rFonts w:ascii="Helvetica" w:hAnsi="Helvetica" w:cs="Helvetica"/>
          <w:b/>
          <w:color w:val="3C4038" w:themeColor="text2" w:themeShade="40"/>
          <w:sz w:val="22"/>
          <w:szCs w:val="22"/>
          <w:u w:val="single"/>
        </w:rPr>
      </w:pPr>
      <w:bookmarkStart w:id="3" w:name="Trading_Hours"/>
      <w:bookmarkEnd w:id="3"/>
    </w:p>
    <w:p w14:paraId="5CA27825" w14:textId="77777777" w:rsidR="003C0F4B" w:rsidRDefault="003C0F4B" w:rsidP="00197835">
      <w:pPr>
        <w:pStyle w:val="BodyText"/>
        <w:widowControl/>
        <w:jc w:val="both"/>
        <w:rPr>
          <w:rFonts w:ascii="Helvetica" w:hAnsi="Helvetica" w:cs="Helvetica"/>
          <w:b/>
          <w:color w:val="3C4038" w:themeColor="text2" w:themeShade="40"/>
          <w:sz w:val="22"/>
          <w:szCs w:val="22"/>
          <w:u w:val="single"/>
        </w:rPr>
      </w:pPr>
    </w:p>
    <w:p w14:paraId="685C3FB8" w14:textId="0ED98629" w:rsidR="00484181" w:rsidRPr="005A69B2" w:rsidRDefault="00484181" w:rsidP="00197835">
      <w:pPr>
        <w:pStyle w:val="BodyText"/>
        <w:widowControl/>
        <w:jc w:val="both"/>
        <w:rPr>
          <w:rFonts w:ascii="Helvetica" w:hAnsi="Helvetica" w:cs="Helvetica"/>
          <w:b/>
          <w:color w:val="3C4038" w:themeColor="text2" w:themeShade="40"/>
          <w:sz w:val="22"/>
          <w:szCs w:val="22"/>
        </w:rPr>
      </w:pPr>
      <w:r w:rsidRPr="005A69B2">
        <w:rPr>
          <w:rFonts w:ascii="Helvetica" w:hAnsi="Helvetica" w:cs="Helvetica"/>
          <w:b/>
          <w:color w:val="3C4038" w:themeColor="text2" w:themeShade="40"/>
          <w:sz w:val="22"/>
          <w:szCs w:val="22"/>
          <w:u w:val="single"/>
        </w:rPr>
        <w:t>Trading Hours</w:t>
      </w:r>
    </w:p>
    <w:p w14:paraId="36056886" w14:textId="77777777" w:rsidR="00484181" w:rsidRPr="005A69B2" w:rsidRDefault="00484181" w:rsidP="00197835">
      <w:pPr>
        <w:pStyle w:val="BodyText"/>
        <w:widowControl/>
        <w:jc w:val="both"/>
        <w:rPr>
          <w:rFonts w:ascii="Helvetica" w:hAnsi="Helvetica" w:cs="Helvetica"/>
          <w:color w:val="3C4038" w:themeColor="text2" w:themeShade="40"/>
          <w:sz w:val="22"/>
          <w:szCs w:val="22"/>
        </w:rPr>
      </w:pPr>
    </w:p>
    <w:p w14:paraId="0887A36A" w14:textId="77777777" w:rsidR="00484181" w:rsidRPr="005A69B2" w:rsidRDefault="00484181" w:rsidP="00197835">
      <w:pPr>
        <w:pStyle w:val="BodyText"/>
        <w:widowControl/>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lastRenderedPageBreak/>
        <w:t>The value of the Index underlying the Shares will be disseminated to data vendors every 15 seconds during the Regular Trading Session.</w:t>
      </w:r>
    </w:p>
    <w:p w14:paraId="5694DEF7" w14:textId="77777777" w:rsidR="00484181" w:rsidRPr="005A69B2" w:rsidRDefault="00484181" w:rsidP="00197835">
      <w:pPr>
        <w:pStyle w:val="BodyText"/>
        <w:widowControl/>
        <w:jc w:val="both"/>
        <w:rPr>
          <w:rFonts w:ascii="Helvetica" w:hAnsi="Helvetica" w:cs="Helvetica"/>
          <w:color w:val="3C4038" w:themeColor="text2" w:themeShade="40"/>
          <w:sz w:val="22"/>
          <w:szCs w:val="22"/>
        </w:rPr>
      </w:pPr>
    </w:p>
    <w:p w14:paraId="283A922F" w14:textId="4EA9E81B" w:rsidR="00484181" w:rsidRPr="005A69B2" w:rsidRDefault="00484181" w:rsidP="00197835">
      <w:pPr>
        <w:pStyle w:val="BodyText"/>
        <w:widowControl/>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The Shares will trade on MIAX PEARL between 9:30 a.m. and 4:00 p.m. Please note that trading in the Shares during the Exchange’s Pre-Market and Post-Market Sessions (“Extended Market Sessions”) may result in additional trading risks which include: (1) that the current underlying indicative value may not be updated during the Extended Market Sessions, (2) lower liquidity in the Extended Market Sessions may impact pricing, (3) higher volatility in the Extended Market Sessions may impact pricing, (4) wider spreads may occur in the Extended Markets Sessions, and (5) because the indicative value is not calculated or widely disseminated during the Extended Market Sessions, an investor who is unable to calculate an implied  value for the Shares in those sessions may be at a disadvantage to market professionals.</w:t>
      </w:r>
    </w:p>
    <w:p w14:paraId="487762EF" w14:textId="77777777" w:rsidR="008F04C4" w:rsidRDefault="008F04C4" w:rsidP="00197835">
      <w:pPr>
        <w:pStyle w:val="BodyText"/>
        <w:widowControl/>
        <w:jc w:val="both"/>
        <w:rPr>
          <w:rFonts w:ascii="Helvetica" w:hAnsi="Helvetica" w:cs="Helvetica"/>
          <w:b/>
          <w:color w:val="3C4038" w:themeColor="text2" w:themeShade="40"/>
          <w:sz w:val="22"/>
          <w:szCs w:val="22"/>
          <w:u w:val="single"/>
        </w:rPr>
      </w:pPr>
    </w:p>
    <w:p w14:paraId="578845AD" w14:textId="5F6F35FF" w:rsidR="002436CB" w:rsidRPr="005A69B2" w:rsidRDefault="002436CB" w:rsidP="00197835">
      <w:pPr>
        <w:pStyle w:val="BodyText"/>
        <w:widowControl/>
        <w:jc w:val="both"/>
        <w:rPr>
          <w:rFonts w:ascii="Helvetica" w:hAnsi="Helvetica" w:cs="Helvetica"/>
          <w:b/>
          <w:color w:val="3C4038" w:themeColor="text2" w:themeShade="40"/>
          <w:sz w:val="22"/>
          <w:szCs w:val="22"/>
        </w:rPr>
      </w:pPr>
      <w:r w:rsidRPr="005A69B2">
        <w:rPr>
          <w:rFonts w:ascii="Helvetica" w:hAnsi="Helvetica" w:cs="Helvetica"/>
          <w:b/>
          <w:color w:val="3C4038" w:themeColor="text2" w:themeShade="40"/>
          <w:sz w:val="22"/>
          <w:szCs w:val="22"/>
          <w:u w:val="single"/>
        </w:rPr>
        <w:t>Dissemination of Data</w:t>
      </w:r>
    </w:p>
    <w:p w14:paraId="21E5E0C1"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p>
    <w:p w14:paraId="1A000BF1" w14:textId="589E7425" w:rsidR="002436CB" w:rsidRPr="005A69B2" w:rsidRDefault="002436CB" w:rsidP="00197835">
      <w:pPr>
        <w:pStyle w:val="BodyText"/>
        <w:widowControl/>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The Consolidated Tape Association will disseminate real time trade and quote information for the Shares to Tape B.</w:t>
      </w:r>
    </w:p>
    <w:p w14:paraId="7045A574" w14:textId="77777777" w:rsidR="00484181" w:rsidRPr="005A69B2" w:rsidRDefault="00484181" w:rsidP="00197835">
      <w:pPr>
        <w:pStyle w:val="BulletMIAX"/>
        <w:numPr>
          <w:ilvl w:val="0"/>
          <w:numId w:val="0"/>
        </w:numPr>
        <w:spacing w:line="240" w:lineRule="auto"/>
        <w:rPr>
          <w:rFonts w:cs="Helvetica"/>
          <w:color w:val="3C4038" w:themeColor="text2" w:themeShade="40"/>
          <w:sz w:val="22"/>
          <w:szCs w:val="22"/>
        </w:rPr>
      </w:pP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16"/>
        <w:gridCol w:w="2016"/>
        <w:gridCol w:w="2016"/>
        <w:gridCol w:w="2016"/>
        <w:gridCol w:w="2016"/>
      </w:tblGrid>
      <w:tr w:rsidR="005A69B2" w:rsidRPr="005A69B2" w14:paraId="0BCA561B" w14:textId="4BA88363" w:rsidTr="00742529">
        <w:trPr>
          <w:cantSplit/>
          <w:trHeight w:val="752"/>
          <w:jc w:val="center"/>
        </w:trPr>
        <w:tc>
          <w:tcPr>
            <w:tcW w:w="2016" w:type="dxa"/>
            <w:tcBorders>
              <w:bottom w:val="single" w:sz="4" w:space="0" w:color="A6A6A6" w:themeColor="background1" w:themeShade="A6"/>
              <w:right w:val="single" w:sz="4" w:space="0" w:color="414041" w:themeColor="text1"/>
            </w:tcBorders>
            <w:shd w:val="clear" w:color="auto" w:fill="414041" w:themeFill="text1"/>
            <w:vAlign w:val="center"/>
          </w:tcPr>
          <w:p w14:paraId="5DFB44F3" w14:textId="302A8117" w:rsidR="002436CB" w:rsidRPr="005A69B2" w:rsidRDefault="002436CB" w:rsidP="002436CB">
            <w:pPr>
              <w:pStyle w:val="BODYMIAX"/>
              <w:spacing w:line="240" w:lineRule="auto"/>
              <w:ind w:left="0"/>
              <w:jc w:val="center"/>
              <w:rPr>
                <w:rFonts w:cs="Helvetica"/>
                <w:b/>
                <w:bCs/>
                <w:color w:val="3C4038" w:themeColor="text2" w:themeShade="40"/>
                <w:sz w:val="22"/>
                <w:szCs w:val="22"/>
              </w:rPr>
            </w:pPr>
            <w:r w:rsidRPr="005A69B2">
              <w:rPr>
                <w:rFonts w:cs="Helvetica"/>
                <w:b/>
                <w:bCs/>
                <w:color w:val="3C4038" w:themeColor="text2" w:themeShade="40"/>
                <w:sz w:val="22"/>
                <w:szCs w:val="22"/>
              </w:rPr>
              <w:t>Name</w:t>
            </w:r>
          </w:p>
        </w:tc>
        <w:tc>
          <w:tcPr>
            <w:tcW w:w="2016" w:type="dxa"/>
            <w:tcBorders>
              <w:left w:val="single" w:sz="4" w:space="0" w:color="414041" w:themeColor="text1"/>
              <w:right w:val="single" w:sz="4" w:space="0" w:color="414041" w:themeColor="text1"/>
            </w:tcBorders>
            <w:shd w:val="clear" w:color="auto" w:fill="414041" w:themeFill="text1"/>
            <w:vAlign w:val="center"/>
          </w:tcPr>
          <w:p w14:paraId="0B91193D" w14:textId="051F36FD" w:rsidR="002436CB" w:rsidRPr="005A69B2" w:rsidRDefault="002436CB" w:rsidP="00484181">
            <w:pPr>
              <w:pStyle w:val="BODYMIAX"/>
              <w:spacing w:line="240" w:lineRule="auto"/>
              <w:ind w:left="0"/>
              <w:jc w:val="center"/>
              <w:rPr>
                <w:rFonts w:cs="Helvetica"/>
                <w:b/>
                <w:bCs/>
                <w:color w:val="3C4038" w:themeColor="text2" w:themeShade="40"/>
                <w:sz w:val="22"/>
                <w:szCs w:val="22"/>
              </w:rPr>
            </w:pPr>
            <w:r w:rsidRPr="005A69B2">
              <w:rPr>
                <w:rFonts w:cs="Helvetica"/>
                <w:b/>
                <w:bCs/>
                <w:color w:val="3C4038" w:themeColor="text2" w:themeShade="40"/>
                <w:sz w:val="22"/>
                <w:szCs w:val="22"/>
              </w:rPr>
              <w:t>Listing Market</w:t>
            </w:r>
          </w:p>
        </w:tc>
        <w:tc>
          <w:tcPr>
            <w:tcW w:w="2016" w:type="dxa"/>
            <w:tcBorders>
              <w:left w:val="single" w:sz="4" w:space="0" w:color="414041" w:themeColor="text1"/>
              <w:right w:val="single" w:sz="4" w:space="0" w:color="414041" w:themeColor="text1"/>
            </w:tcBorders>
            <w:shd w:val="clear" w:color="auto" w:fill="414041" w:themeFill="text1"/>
            <w:vAlign w:val="center"/>
          </w:tcPr>
          <w:p w14:paraId="5881EF68" w14:textId="0BB677F1" w:rsidR="002436CB" w:rsidRPr="005A69B2" w:rsidRDefault="002436CB" w:rsidP="00484181">
            <w:pPr>
              <w:pStyle w:val="BODYMIAX"/>
              <w:spacing w:line="240" w:lineRule="auto"/>
              <w:ind w:left="0"/>
              <w:jc w:val="center"/>
              <w:rPr>
                <w:rFonts w:cs="Helvetica"/>
                <w:b/>
                <w:bCs/>
                <w:color w:val="3C4038" w:themeColor="text2" w:themeShade="40"/>
                <w:sz w:val="22"/>
                <w:szCs w:val="22"/>
              </w:rPr>
            </w:pPr>
            <w:r w:rsidRPr="005A69B2">
              <w:rPr>
                <w:rFonts w:cs="Helvetica"/>
                <w:b/>
                <w:bCs/>
                <w:color w:val="3C4038" w:themeColor="text2" w:themeShade="40"/>
                <w:sz w:val="22"/>
                <w:szCs w:val="22"/>
              </w:rPr>
              <w:t>Trading Symbol</w:t>
            </w:r>
          </w:p>
        </w:tc>
        <w:tc>
          <w:tcPr>
            <w:tcW w:w="2016" w:type="dxa"/>
            <w:tcBorders>
              <w:left w:val="single" w:sz="4" w:space="0" w:color="414041" w:themeColor="text1"/>
              <w:right w:val="single" w:sz="4" w:space="0" w:color="414041" w:themeColor="text1"/>
            </w:tcBorders>
            <w:shd w:val="clear" w:color="auto" w:fill="414041" w:themeFill="text1"/>
            <w:vAlign w:val="center"/>
          </w:tcPr>
          <w:p w14:paraId="4429A0FB" w14:textId="4CD7394C" w:rsidR="002436CB" w:rsidRPr="005A69B2" w:rsidRDefault="002436CB" w:rsidP="00484181">
            <w:pPr>
              <w:pStyle w:val="BODYMIAX"/>
              <w:spacing w:line="240" w:lineRule="auto"/>
              <w:ind w:left="0"/>
              <w:jc w:val="center"/>
              <w:rPr>
                <w:rFonts w:cs="Helvetica"/>
                <w:b/>
                <w:bCs/>
                <w:color w:val="3C4038" w:themeColor="text2" w:themeShade="40"/>
                <w:sz w:val="22"/>
                <w:szCs w:val="22"/>
              </w:rPr>
            </w:pPr>
            <w:r w:rsidRPr="005A69B2">
              <w:rPr>
                <w:rFonts w:cs="Helvetica"/>
                <w:b/>
                <w:bCs/>
                <w:color w:val="3C4038" w:themeColor="text2" w:themeShade="40"/>
                <w:sz w:val="22"/>
                <w:szCs w:val="22"/>
              </w:rPr>
              <w:t>IOPV Symbol</w:t>
            </w:r>
          </w:p>
        </w:tc>
        <w:tc>
          <w:tcPr>
            <w:tcW w:w="2016" w:type="dxa"/>
            <w:tcBorders>
              <w:left w:val="single" w:sz="4" w:space="0" w:color="414041" w:themeColor="text1"/>
              <w:right w:val="single" w:sz="4" w:space="0" w:color="414041" w:themeColor="text1"/>
            </w:tcBorders>
            <w:shd w:val="clear" w:color="auto" w:fill="414041" w:themeFill="text1"/>
            <w:vAlign w:val="center"/>
          </w:tcPr>
          <w:p w14:paraId="1AC556D7" w14:textId="14F43F0A" w:rsidR="002436CB" w:rsidRPr="005A69B2" w:rsidRDefault="002436CB" w:rsidP="00484181">
            <w:pPr>
              <w:pStyle w:val="BODYMIAX"/>
              <w:spacing w:line="240" w:lineRule="auto"/>
              <w:ind w:left="0"/>
              <w:jc w:val="center"/>
              <w:rPr>
                <w:rFonts w:cs="Helvetica"/>
                <w:b/>
                <w:bCs/>
                <w:color w:val="3C4038" w:themeColor="text2" w:themeShade="40"/>
                <w:sz w:val="22"/>
                <w:szCs w:val="22"/>
              </w:rPr>
            </w:pPr>
            <w:r w:rsidRPr="005A69B2">
              <w:rPr>
                <w:rFonts w:cs="Helvetica"/>
                <w:b/>
                <w:bCs/>
                <w:color w:val="3C4038" w:themeColor="text2" w:themeShade="40"/>
                <w:sz w:val="22"/>
                <w:szCs w:val="22"/>
              </w:rPr>
              <w:t>NAV Symbol</w:t>
            </w:r>
          </w:p>
        </w:tc>
      </w:tr>
      <w:tr w:rsidR="005A69B2" w:rsidRPr="005A69B2" w14:paraId="68004750" w14:textId="1FA142D6" w:rsidTr="00742529">
        <w:trPr>
          <w:cantSplit/>
          <w:trHeight w:val="1063"/>
          <w:jc w:val="center"/>
        </w:trPr>
        <w:tc>
          <w:tcPr>
            <w:tcW w:w="2016" w:type="dxa"/>
            <w:shd w:val="clear" w:color="auto" w:fill="auto"/>
            <w:vAlign w:val="center"/>
          </w:tcPr>
          <w:p w14:paraId="6C55FDCE" w14:textId="42FFB311" w:rsidR="005A69B2" w:rsidRPr="003C0F4B" w:rsidRDefault="0061742C" w:rsidP="00C21B70">
            <w:pPr>
              <w:pStyle w:val="BODYMIAX"/>
              <w:spacing w:line="240" w:lineRule="auto"/>
              <w:ind w:left="0"/>
              <w:jc w:val="center"/>
              <w:rPr>
                <w:rFonts w:cs="Helvetica"/>
                <w:bCs/>
                <w:color w:val="3C4038" w:themeColor="text2" w:themeShade="40"/>
                <w:sz w:val="22"/>
                <w:szCs w:val="22"/>
              </w:rPr>
            </w:pPr>
            <w:r w:rsidRPr="003C0F4B">
              <w:rPr>
                <w:rFonts w:cs="Helvetica"/>
                <w:color w:val="3C4038" w:themeColor="text2" w:themeShade="40"/>
                <w:sz w:val="22"/>
                <w:szCs w:val="22"/>
              </w:rPr>
              <w:br/>
            </w:r>
            <w:r w:rsidR="003C0F4B" w:rsidRPr="003C0F4B">
              <w:rPr>
                <w:sz w:val="22"/>
                <w:szCs w:val="22"/>
              </w:rPr>
              <w:t>Pacer Industrials and Logistics ETF</w:t>
            </w:r>
          </w:p>
        </w:tc>
        <w:tc>
          <w:tcPr>
            <w:tcW w:w="2016" w:type="dxa"/>
            <w:shd w:val="clear" w:color="auto" w:fill="auto"/>
            <w:vAlign w:val="center"/>
          </w:tcPr>
          <w:p w14:paraId="39F6CA49" w14:textId="17B7A4A0" w:rsidR="00381F00" w:rsidRPr="003C0F4B" w:rsidRDefault="003C0F4B" w:rsidP="00800019">
            <w:pPr>
              <w:pStyle w:val="BODYMIAX"/>
              <w:spacing w:line="240" w:lineRule="auto"/>
              <w:ind w:left="0"/>
              <w:jc w:val="center"/>
              <w:rPr>
                <w:rFonts w:cs="Helvetica"/>
                <w:color w:val="3C4038" w:themeColor="text2" w:themeShade="40"/>
                <w:sz w:val="22"/>
                <w:szCs w:val="22"/>
              </w:rPr>
            </w:pPr>
            <w:r w:rsidRPr="003C0F4B">
              <w:rPr>
                <w:rFonts w:cs="Helvetica"/>
                <w:color w:val="3C4038" w:themeColor="text2" w:themeShade="40"/>
                <w:sz w:val="22"/>
                <w:szCs w:val="22"/>
                <w:shd w:val="clear" w:color="auto" w:fill="FFFFFF"/>
              </w:rPr>
              <w:t>NYSE Arca</w:t>
            </w:r>
          </w:p>
        </w:tc>
        <w:tc>
          <w:tcPr>
            <w:tcW w:w="2016" w:type="dxa"/>
            <w:vAlign w:val="center"/>
          </w:tcPr>
          <w:p w14:paraId="4BBB3580" w14:textId="485CC60A" w:rsidR="00381F00" w:rsidRPr="003C0F4B" w:rsidRDefault="003C0F4B" w:rsidP="00381F00">
            <w:pPr>
              <w:pStyle w:val="BODYMIAX"/>
              <w:spacing w:line="240" w:lineRule="auto"/>
              <w:ind w:left="0"/>
              <w:jc w:val="center"/>
              <w:rPr>
                <w:rFonts w:cs="Helvetica"/>
                <w:color w:val="3C4038" w:themeColor="text2" w:themeShade="40"/>
                <w:sz w:val="22"/>
                <w:szCs w:val="22"/>
              </w:rPr>
            </w:pPr>
            <w:r w:rsidRPr="003C0F4B">
              <w:rPr>
                <w:sz w:val="22"/>
                <w:szCs w:val="22"/>
              </w:rPr>
              <w:t>SHPP</w:t>
            </w:r>
          </w:p>
        </w:tc>
        <w:tc>
          <w:tcPr>
            <w:tcW w:w="2016" w:type="dxa"/>
            <w:vAlign w:val="center"/>
          </w:tcPr>
          <w:p w14:paraId="172C91C3" w14:textId="3C8E7138" w:rsidR="00381F00" w:rsidRPr="003C0F4B" w:rsidRDefault="003C0F4B" w:rsidP="00381F00">
            <w:pPr>
              <w:pStyle w:val="BODYMIAX"/>
              <w:spacing w:line="240" w:lineRule="auto"/>
              <w:ind w:left="0"/>
              <w:jc w:val="center"/>
              <w:rPr>
                <w:rFonts w:cs="Helvetica"/>
                <w:color w:val="3C4038" w:themeColor="text2" w:themeShade="40"/>
                <w:sz w:val="22"/>
                <w:szCs w:val="22"/>
              </w:rPr>
            </w:pPr>
            <w:r w:rsidRPr="003C0F4B">
              <w:rPr>
                <w:sz w:val="22"/>
                <w:szCs w:val="22"/>
              </w:rPr>
              <w:t>SHPP.IV</w:t>
            </w:r>
          </w:p>
        </w:tc>
        <w:tc>
          <w:tcPr>
            <w:tcW w:w="2016" w:type="dxa"/>
            <w:vAlign w:val="center"/>
          </w:tcPr>
          <w:p w14:paraId="088DBF39" w14:textId="3ECFA32D" w:rsidR="00381F00" w:rsidRPr="003C0F4B" w:rsidRDefault="003C0F4B" w:rsidP="00381F00">
            <w:pPr>
              <w:pStyle w:val="BODYMIAX"/>
              <w:spacing w:line="240" w:lineRule="auto"/>
              <w:ind w:left="0"/>
              <w:jc w:val="center"/>
              <w:rPr>
                <w:rFonts w:cs="Helvetica"/>
                <w:color w:val="3C4038" w:themeColor="text2" w:themeShade="40"/>
                <w:sz w:val="22"/>
                <w:szCs w:val="22"/>
              </w:rPr>
            </w:pPr>
            <w:r w:rsidRPr="003C0F4B">
              <w:rPr>
                <w:sz w:val="22"/>
                <w:szCs w:val="22"/>
              </w:rPr>
              <w:t>SHPP.NV</w:t>
            </w:r>
          </w:p>
        </w:tc>
      </w:tr>
      <w:tr w:rsidR="00A13B5C" w:rsidRPr="005A69B2" w14:paraId="2236D970" w14:textId="77777777" w:rsidTr="00742529">
        <w:trPr>
          <w:cantSplit/>
          <w:trHeight w:val="1063"/>
          <w:jc w:val="center"/>
        </w:trPr>
        <w:tc>
          <w:tcPr>
            <w:tcW w:w="2016" w:type="dxa"/>
            <w:shd w:val="clear" w:color="auto" w:fill="auto"/>
            <w:vAlign w:val="center"/>
          </w:tcPr>
          <w:p w14:paraId="09424D73" w14:textId="134455C7" w:rsidR="00A13B5C" w:rsidRPr="003C0F4B" w:rsidRDefault="00A13B5C" w:rsidP="00A13B5C">
            <w:pPr>
              <w:pStyle w:val="BODYMIAX"/>
              <w:spacing w:line="240" w:lineRule="auto"/>
              <w:ind w:left="0"/>
              <w:jc w:val="center"/>
              <w:rPr>
                <w:rFonts w:cs="Helvetica"/>
                <w:color w:val="3C4038" w:themeColor="text2" w:themeShade="40"/>
                <w:sz w:val="22"/>
                <w:szCs w:val="22"/>
              </w:rPr>
            </w:pPr>
            <w:r w:rsidRPr="003C0F4B">
              <w:rPr>
                <w:rFonts w:cs="Helvetica"/>
                <w:color w:val="3C4038" w:themeColor="text2" w:themeShade="40"/>
                <w:sz w:val="22"/>
                <w:szCs w:val="22"/>
              </w:rPr>
              <w:br/>
            </w:r>
            <w:r w:rsidR="003C0F4B" w:rsidRPr="003C0F4B">
              <w:rPr>
                <w:sz w:val="22"/>
                <w:szCs w:val="22"/>
              </w:rPr>
              <w:t>Pacer Data and Digital Revolution ETF</w:t>
            </w:r>
          </w:p>
        </w:tc>
        <w:tc>
          <w:tcPr>
            <w:tcW w:w="2016" w:type="dxa"/>
            <w:shd w:val="clear" w:color="auto" w:fill="auto"/>
            <w:vAlign w:val="center"/>
          </w:tcPr>
          <w:p w14:paraId="4FA1DFDC" w14:textId="02E1792B" w:rsidR="00A13B5C" w:rsidRPr="003C0F4B" w:rsidRDefault="003C0F4B" w:rsidP="00A13B5C">
            <w:pPr>
              <w:pStyle w:val="BODYMIAX"/>
              <w:spacing w:line="240" w:lineRule="auto"/>
              <w:ind w:left="0"/>
              <w:jc w:val="center"/>
              <w:rPr>
                <w:rFonts w:cs="Helvetica"/>
                <w:color w:val="3C4038" w:themeColor="text2" w:themeShade="40"/>
                <w:sz w:val="22"/>
                <w:szCs w:val="22"/>
                <w:shd w:val="clear" w:color="auto" w:fill="FFFFFF"/>
              </w:rPr>
            </w:pPr>
            <w:r w:rsidRPr="003C0F4B">
              <w:rPr>
                <w:rFonts w:cs="Helvetica"/>
                <w:color w:val="3C4038" w:themeColor="text2" w:themeShade="40"/>
                <w:sz w:val="22"/>
                <w:szCs w:val="22"/>
                <w:shd w:val="clear" w:color="auto" w:fill="FFFFFF"/>
              </w:rPr>
              <w:t>NYSE Arca</w:t>
            </w:r>
          </w:p>
        </w:tc>
        <w:tc>
          <w:tcPr>
            <w:tcW w:w="2016" w:type="dxa"/>
            <w:vAlign w:val="center"/>
          </w:tcPr>
          <w:p w14:paraId="1015E5C6" w14:textId="76519DC8" w:rsidR="00A13B5C" w:rsidRPr="003C0F4B" w:rsidRDefault="003C0F4B" w:rsidP="00A13B5C">
            <w:pPr>
              <w:pStyle w:val="BODYMIAX"/>
              <w:spacing w:line="240" w:lineRule="auto"/>
              <w:ind w:left="0"/>
              <w:jc w:val="center"/>
              <w:rPr>
                <w:rFonts w:cs="Helvetica"/>
                <w:color w:val="3C4038" w:themeColor="text2" w:themeShade="40"/>
                <w:sz w:val="22"/>
                <w:szCs w:val="22"/>
              </w:rPr>
            </w:pPr>
            <w:r w:rsidRPr="003C0F4B">
              <w:rPr>
                <w:sz w:val="22"/>
                <w:szCs w:val="22"/>
              </w:rPr>
              <w:t>TRFK</w:t>
            </w:r>
          </w:p>
        </w:tc>
        <w:tc>
          <w:tcPr>
            <w:tcW w:w="2016" w:type="dxa"/>
            <w:vAlign w:val="center"/>
          </w:tcPr>
          <w:p w14:paraId="331C9128" w14:textId="2B317E5D" w:rsidR="00A13B5C" w:rsidRPr="003C0F4B" w:rsidRDefault="003C0F4B" w:rsidP="00A13B5C">
            <w:pPr>
              <w:pStyle w:val="BODYMIAX"/>
              <w:spacing w:line="240" w:lineRule="auto"/>
              <w:ind w:left="0"/>
              <w:jc w:val="center"/>
              <w:rPr>
                <w:rFonts w:cs="Helvetica"/>
                <w:color w:val="3C4038" w:themeColor="text2" w:themeShade="40"/>
                <w:sz w:val="22"/>
                <w:szCs w:val="22"/>
              </w:rPr>
            </w:pPr>
            <w:r w:rsidRPr="003C0F4B">
              <w:rPr>
                <w:sz w:val="22"/>
                <w:szCs w:val="22"/>
              </w:rPr>
              <w:t>TRFK.IV</w:t>
            </w:r>
          </w:p>
        </w:tc>
        <w:tc>
          <w:tcPr>
            <w:tcW w:w="2016" w:type="dxa"/>
            <w:vAlign w:val="center"/>
          </w:tcPr>
          <w:p w14:paraId="69F97628" w14:textId="60D768CC" w:rsidR="00A13B5C" w:rsidRPr="003C0F4B" w:rsidRDefault="003C0F4B" w:rsidP="00A13B5C">
            <w:pPr>
              <w:pStyle w:val="BODYMIAX"/>
              <w:spacing w:line="240" w:lineRule="auto"/>
              <w:ind w:left="0"/>
              <w:jc w:val="center"/>
              <w:rPr>
                <w:rFonts w:cs="Helvetica"/>
                <w:color w:val="3C4038" w:themeColor="text2" w:themeShade="40"/>
                <w:sz w:val="22"/>
                <w:szCs w:val="22"/>
              </w:rPr>
            </w:pPr>
            <w:r w:rsidRPr="003C0F4B">
              <w:rPr>
                <w:sz w:val="22"/>
                <w:szCs w:val="22"/>
              </w:rPr>
              <w:t>TRFK.NV</w:t>
            </w:r>
          </w:p>
        </w:tc>
      </w:tr>
    </w:tbl>
    <w:p w14:paraId="55B46691" w14:textId="77777777" w:rsidR="003C0F4B" w:rsidRDefault="003C0F4B" w:rsidP="00197835">
      <w:pPr>
        <w:pStyle w:val="BodyText"/>
        <w:widowControl/>
        <w:jc w:val="both"/>
        <w:rPr>
          <w:rFonts w:ascii="Helvetica" w:hAnsi="Helvetica" w:cs="Helvetica"/>
          <w:b/>
          <w:color w:val="3C4038" w:themeColor="text2" w:themeShade="40"/>
          <w:sz w:val="22"/>
          <w:szCs w:val="22"/>
          <w:u w:val="single"/>
        </w:rPr>
      </w:pPr>
    </w:p>
    <w:p w14:paraId="601CA7C7" w14:textId="3A472071" w:rsidR="002436CB" w:rsidRPr="005A69B2" w:rsidRDefault="002436CB" w:rsidP="00197835">
      <w:pPr>
        <w:pStyle w:val="BodyText"/>
        <w:widowControl/>
        <w:jc w:val="both"/>
        <w:rPr>
          <w:rFonts w:ascii="Helvetica" w:hAnsi="Helvetica" w:cs="Helvetica"/>
          <w:b/>
          <w:color w:val="3C4038" w:themeColor="text2" w:themeShade="40"/>
          <w:sz w:val="22"/>
          <w:szCs w:val="22"/>
        </w:rPr>
      </w:pPr>
      <w:r w:rsidRPr="005A69B2">
        <w:rPr>
          <w:rFonts w:ascii="Helvetica" w:hAnsi="Helvetica" w:cs="Helvetica"/>
          <w:b/>
          <w:color w:val="3C4038" w:themeColor="text2" w:themeShade="40"/>
          <w:sz w:val="22"/>
          <w:szCs w:val="22"/>
          <w:u w:val="single"/>
        </w:rPr>
        <w:t>Delivery of a Prospectus</w:t>
      </w:r>
    </w:p>
    <w:p w14:paraId="465D59D4"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p>
    <w:p w14:paraId="064C005F" w14:textId="77777777" w:rsidR="002436CB" w:rsidRPr="005A69B2" w:rsidRDefault="002436CB" w:rsidP="00197835">
      <w:pPr>
        <w:pStyle w:val="BodyText"/>
        <w:widowControl/>
        <w:ind w:hanging="1"/>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MIAX PEARL Equity Members should be mindful of applicable prospectus delivery requirements under the federal securities laws with respect to transactions in the Fund. Prospectuses may be obtained through the Fund’s website. The prospectus for the Fund does not contain all of the information set forth in the Fund’s Registration Statement (including the exhibits to the Registration Statement), parts of which have been omitted in accordance with the rules and regulations of the SEC. For further information about the Fund, please refer to its Registration Statement.</w:t>
      </w:r>
    </w:p>
    <w:p w14:paraId="2CB6F4A2"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p>
    <w:p w14:paraId="01D3C691"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 xml:space="preserve">In the event that the Fund relies upon an order by the SEC exempting the Shares from certain prospectus delivery requirements under Section 24(d) of the Investment Company Act of 1940 and in the future make available a written product description, MIAX PEARL Rules requires that MIAX PEARL Equity Members provide to all purchasers of Shares a written description of the terms and characteristics of such securities, in a form prepared by the Issuer of the Fund, no later than the time a confirmation of the first transaction in the Shares is delivered to such purchaser. In addition, MIAX PEARL Equity Members shall include such a written description with any sales material relating to the Shares that is provided to customers or the public. Any other written materials provided by an MIAX PEARL Equity Member to customers or the public making specific reference to the Shares as an investment vehicle must include a statement in substantially the </w:t>
      </w:r>
      <w:r w:rsidRPr="005A69B2">
        <w:rPr>
          <w:rFonts w:ascii="Helvetica" w:hAnsi="Helvetica" w:cs="Helvetica"/>
          <w:color w:val="3C4038" w:themeColor="text2" w:themeShade="40"/>
          <w:sz w:val="22"/>
          <w:szCs w:val="22"/>
        </w:rPr>
        <w:lastRenderedPageBreak/>
        <w:t>following form: “A circular describing the terms and characteristics of [the UTP Exchange Traded Products] has been prepared by the [open-ended management investment company name] and is available from your broker. It is recommended that you obtain and review such circular before purchasing [the UTP Exchange Traded Products].”</w:t>
      </w:r>
    </w:p>
    <w:p w14:paraId="347568BE"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p>
    <w:p w14:paraId="0D514722" w14:textId="1F364954" w:rsidR="002436CB" w:rsidRPr="005A69B2" w:rsidRDefault="002436CB" w:rsidP="00312A35">
      <w:pPr>
        <w:pStyle w:val="BodyText"/>
        <w:widowControl/>
        <w:ind w:hanging="1"/>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A MIAX PEARL Equity Member carrying an omnibus account for a non-member broker-dealer is required to inform such non-member that execution of an order to purchase Shares for such omnibus account will be deemed to constitute agreement by the non-member to make such written description available to its customers on the same terms as are directly applicable to MIAX PEARL Equity Member under this rule.</w:t>
      </w:r>
    </w:p>
    <w:p w14:paraId="04968DF7" w14:textId="62A6BEF0" w:rsidR="002436CB" w:rsidRDefault="002436CB" w:rsidP="00197835">
      <w:pPr>
        <w:pStyle w:val="BodyText"/>
        <w:widowControl/>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Upon request of a customer, MIAX PEARL Members also shall provide a copy of the Prospectus.</w:t>
      </w:r>
    </w:p>
    <w:p w14:paraId="31F7EA6F" w14:textId="77777777" w:rsidR="00E574C5" w:rsidRDefault="00E574C5" w:rsidP="00197835">
      <w:pPr>
        <w:pStyle w:val="BodyText"/>
        <w:widowControl/>
        <w:jc w:val="both"/>
        <w:rPr>
          <w:rFonts w:ascii="Helvetica" w:hAnsi="Helvetica" w:cs="Helvetica"/>
          <w:color w:val="3C4038" w:themeColor="text2" w:themeShade="40"/>
          <w:sz w:val="22"/>
          <w:szCs w:val="22"/>
        </w:rPr>
      </w:pPr>
    </w:p>
    <w:p w14:paraId="1ED0FFA5" w14:textId="1C2FA8DE" w:rsidR="002436CB" w:rsidRPr="005A69B2" w:rsidRDefault="002436CB" w:rsidP="00197835">
      <w:pPr>
        <w:pStyle w:val="BodyText"/>
        <w:widowControl/>
        <w:jc w:val="both"/>
        <w:rPr>
          <w:rFonts w:ascii="Helvetica" w:hAnsi="Helvetica" w:cs="Helvetica"/>
          <w:b/>
          <w:color w:val="3C4038" w:themeColor="text2" w:themeShade="40"/>
          <w:sz w:val="22"/>
          <w:szCs w:val="22"/>
        </w:rPr>
      </w:pPr>
      <w:bookmarkStart w:id="4" w:name="Suitability"/>
      <w:bookmarkEnd w:id="4"/>
      <w:r w:rsidRPr="005A69B2">
        <w:rPr>
          <w:rFonts w:ascii="Helvetica" w:hAnsi="Helvetica" w:cs="Helvetica"/>
          <w:b/>
          <w:color w:val="3C4038" w:themeColor="text2" w:themeShade="40"/>
          <w:sz w:val="22"/>
          <w:szCs w:val="22"/>
          <w:u w:val="single"/>
        </w:rPr>
        <w:t>Suitability</w:t>
      </w:r>
    </w:p>
    <w:p w14:paraId="52EC2F47"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p>
    <w:p w14:paraId="7BAB699F" w14:textId="3AA8BAF9" w:rsidR="002436CB" w:rsidRPr="005A69B2" w:rsidRDefault="002436CB" w:rsidP="00197835">
      <w:pPr>
        <w:pStyle w:val="BodyText"/>
        <w:widowControl/>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Trading in the securities on the Exchange will be subject to the provisions of MIAX PEARL Rule 2107 and other applicable suitability rules.  Equity Members recommending transactions in the securities to customers should make a determination that the recommendation is suitable for the customer.</w:t>
      </w:r>
    </w:p>
    <w:p w14:paraId="77C2B321" w14:textId="77777777" w:rsidR="0032149D" w:rsidRDefault="0032149D" w:rsidP="00197835">
      <w:pPr>
        <w:pStyle w:val="BodyText"/>
        <w:widowControl/>
        <w:jc w:val="both"/>
        <w:rPr>
          <w:rFonts w:ascii="Helvetica" w:hAnsi="Helvetica" w:cs="Helvetica"/>
          <w:b/>
          <w:color w:val="3C4038" w:themeColor="text2" w:themeShade="40"/>
          <w:sz w:val="22"/>
          <w:szCs w:val="22"/>
          <w:u w:val="single"/>
        </w:rPr>
      </w:pPr>
      <w:bookmarkStart w:id="5" w:name="Trading_Halts"/>
      <w:bookmarkEnd w:id="5"/>
    </w:p>
    <w:p w14:paraId="79FFEC5F" w14:textId="75F94B17" w:rsidR="002436CB" w:rsidRPr="005A69B2" w:rsidRDefault="002436CB" w:rsidP="00197835">
      <w:pPr>
        <w:pStyle w:val="BodyText"/>
        <w:widowControl/>
        <w:jc w:val="both"/>
        <w:rPr>
          <w:rFonts w:ascii="Helvetica" w:hAnsi="Helvetica" w:cs="Helvetica"/>
          <w:b/>
          <w:color w:val="3C4038" w:themeColor="text2" w:themeShade="40"/>
          <w:sz w:val="22"/>
          <w:szCs w:val="22"/>
        </w:rPr>
      </w:pPr>
      <w:r w:rsidRPr="005A69B2">
        <w:rPr>
          <w:rFonts w:ascii="Helvetica" w:hAnsi="Helvetica" w:cs="Helvetica"/>
          <w:b/>
          <w:color w:val="3C4038" w:themeColor="text2" w:themeShade="40"/>
          <w:sz w:val="22"/>
          <w:szCs w:val="22"/>
          <w:u w:val="single"/>
        </w:rPr>
        <w:t>Trading Halts</w:t>
      </w:r>
    </w:p>
    <w:p w14:paraId="6A1C0334"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p>
    <w:p w14:paraId="4FB3C41F" w14:textId="5F49D6D2" w:rsidR="002436CB" w:rsidRDefault="002436CB" w:rsidP="00197835">
      <w:pPr>
        <w:pStyle w:val="BodyText"/>
        <w:widowControl/>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MIAX PEARL will halt trading in the Shares of a security in accordance with MIAX PEARL Rules. The grounds for a halt under MIAX PEARL Rules include a halt by the primary market because the intraday indicative value of the security and/or the value of its underlying index are not being disseminated as required, or a halt for other regulatory reasons. In addition, MIAX PEARL will stop trading the Shares of a security if the primary market de-lists the security.</w:t>
      </w:r>
    </w:p>
    <w:p w14:paraId="2EC30FFB" w14:textId="77777777" w:rsidR="004E1D42" w:rsidRPr="005A69B2" w:rsidRDefault="004E1D42" w:rsidP="00197835">
      <w:pPr>
        <w:pStyle w:val="BodyText"/>
        <w:widowControl/>
        <w:jc w:val="both"/>
        <w:rPr>
          <w:rFonts w:ascii="Helvetica" w:hAnsi="Helvetica" w:cs="Helvetica"/>
          <w:color w:val="3C4038" w:themeColor="text2" w:themeShade="40"/>
          <w:sz w:val="22"/>
          <w:szCs w:val="22"/>
        </w:rPr>
      </w:pPr>
    </w:p>
    <w:p w14:paraId="11DF5575" w14:textId="0E61DC09" w:rsidR="002436CB" w:rsidRPr="005A69B2" w:rsidRDefault="002436CB" w:rsidP="00197835">
      <w:pPr>
        <w:pStyle w:val="BodyText"/>
        <w:widowControl/>
        <w:jc w:val="both"/>
        <w:rPr>
          <w:rFonts w:ascii="Helvetica" w:hAnsi="Helvetica" w:cs="Helvetica"/>
          <w:b/>
          <w:color w:val="3C4038" w:themeColor="text2" w:themeShade="40"/>
          <w:sz w:val="22"/>
          <w:szCs w:val="22"/>
        </w:rPr>
      </w:pPr>
      <w:bookmarkStart w:id="6" w:name="Exemptive,_Interpretive_and_No-Action_Re"/>
      <w:bookmarkEnd w:id="6"/>
      <w:r w:rsidRPr="005A69B2">
        <w:rPr>
          <w:rFonts w:ascii="Helvetica" w:hAnsi="Helvetica" w:cs="Helvetica"/>
          <w:b/>
          <w:color w:val="3C4038" w:themeColor="text2" w:themeShade="40"/>
          <w:sz w:val="22"/>
          <w:szCs w:val="22"/>
          <w:u w:val="single"/>
        </w:rPr>
        <w:t>Exemptive, Interpretive and No-Action Relief Under Federal Securities Regulations</w:t>
      </w:r>
    </w:p>
    <w:p w14:paraId="3FDE14F6"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p>
    <w:p w14:paraId="65755AA5" w14:textId="4E9EC8AE" w:rsidR="002436CB" w:rsidRPr="005A69B2" w:rsidRDefault="002436CB" w:rsidP="00197835">
      <w:pPr>
        <w:pStyle w:val="BodyText"/>
        <w:widowControl/>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The Securities and Exchange Commission (the “SEC”) has issued letters granting exemptive, interpretive and no-action relief from certain provisions of rules under the Securities Exchange Act of 1934 for exchange-traded securities listed and traded on a registered national securities exchange that meet certain criteria.</w:t>
      </w:r>
    </w:p>
    <w:p w14:paraId="62235ECE"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bookmarkStart w:id="7" w:name="AS_WHAT_FOLLOWS_IS_ONLY_A_SUMMARY_OF_THE"/>
      <w:bookmarkEnd w:id="7"/>
      <w:r w:rsidRPr="005A69B2">
        <w:rPr>
          <w:rFonts w:ascii="Helvetica" w:hAnsi="Helvetica" w:cs="Helvetica"/>
          <w:color w:val="3C4038" w:themeColor="text2" w:themeShade="40"/>
          <w:sz w:val="22"/>
          <w:szCs w:val="22"/>
        </w:rPr>
        <w:t>AS WHAT FOLLOWS IS ONLY A SUMMARY OF THE RELIEF OUTLINED IN THE NO-ACTION LETTERS REFERENCED ABOVE, THE EXCHANGE ADVISES INTERESTED PARTIES TO CONSULT THE NO- ACTION LETTERS FOR MORE COMPLETE INFORMATION REGARDING THE MATTERS COVERED THEREIN AND THE APPLICABILITY OF THE RELIEF GRANTED IN RESPECT OF TRADING IN SECURITIES. INTERESTED PARTIES SHOULD ALSO CONSULT THEIR PROFESSIONAL ADVISORS.</w:t>
      </w:r>
    </w:p>
    <w:p w14:paraId="15B8C7B1" w14:textId="77777777" w:rsidR="00FE044A" w:rsidRDefault="00FE044A" w:rsidP="00197835">
      <w:pPr>
        <w:pStyle w:val="BodyText"/>
        <w:widowControl/>
        <w:jc w:val="both"/>
        <w:rPr>
          <w:rFonts w:ascii="Helvetica" w:hAnsi="Helvetica" w:cs="Helvetica"/>
          <w:b/>
          <w:color w:val="3C4038" w:themeColor="text2" w:themeShade="40"/>
          <w:sz w:val="22"/>
          <w:szCs w:val="22"/>
          <w:u w:val="single"/>
        </w:rPr>
      </w:pPr>
    </w:p>
    <w:p w14:paraId="5A04D28C" w14:textId="47835DF8" w:rsidR="002436CB" w:rsidRPr="005A69B2" w:rsidRDefault="002436CB" w:rsidP="00197835">
      <w:pPr>
        <w:pStyle w:val="BodyText"/>
        <w:widowControl/>
        <w:jc w:val="both"/>
        <w:rPr>
          <w:rFonts w:ascii="Helvetica" w:hAnsi="Helvetica" w:cs="Helvetica"/>
          <w:b/>
          <w:color w:val="3C4038" w:themeColor="text2" w:themeShade="40"/>
          <w:sz w:val="22"/>
          <w:szCs w:val="22"/>
        </w:rPr>
      </w:pPr>
      <w:r w:rsidRPr="005A69B2">
        <w:rPr>
          <w:rFonts w:ascii="Helvetica" w:hAnsi="Helvetica" w:cs="Helvetica"/>
          <w:b/>
          <w:color w:val="3C4038" w:themeColor="text2" w:themeShade="40"/>
          <w:sz w:val="22"/>
          <w:szCs w:val="22"/>
          <w:u w:val="single"/>
        </w:rPr>
        <w:t>Regulation M Exemptions</w:t>
      </w:r>
    </w:p>
    <w:p w14:paraId="060E18B5" w14:textId="77777777" w:rsidR="002436CB" w:rsidRPr="005A69B2" w:rsidRDefault="002436CB" w:rsidP="00197835">
      <w:pPr>
        <w:pStyle w:val="BodyText"/>
        <w:widowControl/>
        <w:jc w:val="both"/>
        <w:rPr>
          <w:rFonts w:ascii="Helvetica" w:hAnsi="Helvetica" w:cs="Helvetica"/>
          <w:b/>
          <w:color w:val="3C4038" w:themeColor="text2" w:themeShade="40"/>
          <w:sz w:val="22"/>
          <w:szCs w:val="22"/>
        </w:rPr>
      </w:pPr>
    </w:p>
    <w:p w14:paraId="65D6950B"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Generally, Rules 101 and 102 of Regulation M prohibit any “distribution participant” and its “affiliated purchasers” from bidding for, purchasing, or attempting to induce any person to bid for or purchase any security which is the subject of a distribution until after the applicable restricted period, except as specifically permitted in Regulation M. The provisions of the Rules apply to underwriters, prospective underwriters, brokers, dealers, and other persons who have agreed to participate or are participating in a distribution of securities.</w:t>
      </w:r>
    </w:p>
    <w:p w14:paraId="7420B729"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p>
    <w:p w14:paraId="0CD60A9E" w14:textId="4F60EEEB" w:rsidR="00E574C5" w:rsidRDefault="002436CB" w:rsidP="00197835">
      <w:pPr>
        <w:pStyle w:val="BodyText"/>
        <w:widowControl/>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 xml:space="preserve">The SEC has granted an exemption from Rule 101 under Regulation M to permit persons participating in a distribution of shares of the above-mentioned Fund to engage in secondary market transactions in such shares during their participation in such a distribution. In addition, the SEC has granted relief under </w:t>
      </w:r>
      <w:r w:rsidRPr="005A69B2">
        <w:rPr>
          <w:rFonts w:ascii="Helvetica" w:hAnsi="Helvetica" w:cs="Helvetica"/>
          <w:color w:val="3C4038" w:themeColor="text2" w:themeShade="40"/>
          <w:sz w:val="22"/>
          <w:szCs w:val="22"/>
        </w:rPr>
        <w:lastRenderedPageBreak/>
        <w:t>Regulation M to permit persons who may be deemed to be participating in the distribution of Shares of the above-mentioned Fund (i) to purchase securities for the purpose of purchasing Creation Unit Aggregations of Fund Shares and (ii) to tender securities for redemption in Creation Unit Aggregations. Further, the SEC has clarified that the tender of Fund Shares to the Fund for redemption does not constitute a bid for or purchase of any of the Fund’s securities during the restricted period of Rule 101. The SEC has also granted an exemption pursuant to paragraph (e) of Rule 102 under Regulation M to allow the redemption of Fund Shares in Creation Unit Aggregations during the continuous offering of Shares.</w:t>
      </w:r>
      <w:bookmarkStart w:id="8" w:name="Rule_10b-10_(Customer_Confirmations_for_"/>
      <w:bookmarkEnd w:id="8"/>
    </w:p>
    <w:p w14:paraId="5F1CC913" w14:textId="77777777" w:rsidR="0064288A" w:rsidRDefault="0064288A" w:rsidP="00197835">
      <w:pPr>
        <w:pStyle w:val="BodyText"/>
        <w:widowControl/>
        <w:jc w:val="both"/>
        <w:rPr>
          <w:rFonts w:ascii="Helvetica" w:hAnsi="Helvetica" w:cs="Helvetica"/>
          <w:color w:val="3C4038" w:themeColor="text2" w:themeShade="40"/>
          <w:sz w:val="22"/>
          <w:szCs w:val="22"/>
        </w:rPr>
      </w:pPr>
    </w:p>
    <w:p w14:paraId="07AEEC35" w14:textId="357BB1B5" w:rsidR="002436CB" w:rsidRPr="00785853" w:rsidRDefault="002436CB" w:rsidP="00197835">
      <w:pPr>
        <w:pStyle w:val="BodyText"/>
        <w:widowControl/>
        <w:jc w:val="both"/>
        <w:rPr>
          <w:rFonts w:ascii="Helvetica" w:hAnsi="Helvetica" w:cs="Helvetica"/>
          <w:color w:val="3C4038" w:themeColor="text2" w:themeShade="40"/>
          <w:sz w:val="22"/>
          <w:szCs w:val="22"/>
        </w:rPr>
      </w:pPr>
      <w:r w:rsidRPr="005A69B2">
        <w:rPr>
          <w:rFonts w:ascii="Helvetica" w:hAnsi="Helvetica" w:cs="Helvetica"/>
          <w:b/>
          <w:color w:val="3C4038" w:themeColor="text2" w:themeShade="40"/>
          <w:sz w:val="22"/>
          <w:szCs w:val="22"/>
          <w:u w:val="single"/>
        </w:rPr>
        <w:t>Rule 10b-10 (Customer Confirmations for Creation or Redemption of Fund Shares)</w:t>
      </w:r>
    </w:p>
    <w:p w14:paraId="5CA86B5E"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p>
    <w:p w14:paraId="442BE53E"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Broker-dealers who handle purchases or redemptions of Fund Shares in Creation Unit size for customers will be permitted to provide such customers with a statement of the number of Creation Unit Aggregations created or redeemed without providing a statement of the identity, number and price of shares of the individual securities tendered to the Fund for purposes of purchasing Creation Unit Aggregations (“Deposit Securities”) or the identity, number and price of shares to be delivered by the Trust for the Fund to the redeeming holder (“Redemption Securities”). The composition of the securities required to be tendered to the Fund for creation purposes and of the securities to be delivered on redemption will be disseminated each business day and will be applicable to requests for creations or redemption, as the case may be, on that day. This exemptive relief under Rule 10b-10 with respect to creations and redemption is subject to the following conditions:</w:t>
      </w:r>
    </w:p>
    <w:p w14:paraId="63064B2C"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p>
    <w:p w14:paraId="037EB40D" w14:textId="77777777" w:rsidR="002436CB" w:rsidRPr="005A69B2" w:rsidRDefault="002436CB" w:rsidP="00197835">
      <w:pPr>
        <w:pStyle w:val="ListParagraph"/>
        <w:numPr>
          <w:ilvl w:val="0"/>
          <w:numId w:val="62"/>
        </w:numPr>
        <w:autoSpaceDE w:val="0"/>
        <w:autoSpaceDN w:val="0"/>
        <w:ind w:left="1080"/>
        <w:contextualSpacing w:val="0"/>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Confirmations to customers engaging in creations or redemptions must state that all information required by Rule 10b-10 will be provided upon request;</w:t>
      </w:r>
    </w:p>
    <w:p w14:paraId="2ECDFAC4" w14:textId="77777777" w:rsidR="002436CB" w:rsidRPr="005A69B2" w:rsidRDefault="002436CB" w:rsidP="00197835">
      <w:pPr>
        <w:pStyle w:val="BodyText"/>
        <w:widowControl/>
        <w:ind w:left="1080"/>
        <w:jc w:val="both"/>
        <w:rPr>
          <w:rFonts w:ascii="Helvetica" w:hAnsi="Helvetica" w:cs="Helvetica"/>
          <w:color w:val="3C4038" w:themeColor="text2" w:themeShade="40"/>
          <w:sz w:val="22"/>
          <w:szCs w:val="22"/>
        </w:rPr>
      </w:pPr>
    </w:p>
    <w:p w14:paraId="2F19F2D7" w14:textId="77777777" w:rsidR="002436CB" w:rsidRPr="005A69B2" w:rsidRDefault="002436CB" w:rsidP="00197835">
      <w:pPr>
        <w:pStyle w:val="ListParagraph"/>
        <w:numPr>
          <w:ilvl w:val="0"/>
          <w:numId w:val="62"/>
        </w:numPr>
        <w:autoSpaceDE w:val="0"/>
        <w:autoSpaceDN w:val="0"/>
        <w:ind w:left="1080" w:hanging="359"/>
        <w:contextualSpacing w:val="0"/>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Any such request by a customer for information required by Rule 10b-10 will be filed in a timely manner, in accordance with Rule 10b-10(c); and</w:t>
      </w:r>
    </w:p>
    <w:p w14:paraId="11860071" w14:textId="77777777" w:rsidR="002436CB" w:rsidRPr="005A69B2" w:rsidRDefault="002436CB" w:rsidP="00197835">
      <w:pPr>
        <w:pStyle w:val="BodyText"/>
        <w:widowControl/>
        <w:ind w:left="1080"/>
        <w:jc w:val="both"/>
        <w:rPr>
          <w:rFonts w:ascii="Helvetica" w:hAnsi="Helvetica" w:cs="Helvetica"/>
          <w:color w:val="3C4038" w:themeColor="text2" w:themeShade="40"/>
          <w:sz w:val="22"/>
          <w:szCs w:val="22"/>
        </w:rPr>
      </w:pPr>
    </w:p>
    <w:p w14:paraId="0F17D953" w14:textId="20473DAB" w:rsidR="002436CB" w:rsidRDefault="002436CB" w:rsidP="00197835">
      <w:pPr>
        <w:pStyle w:val="ListParagraph"/>
        <w:numPr>
          <w:ilvl w:val="0"/>
          <w:numId w:val="62"/>
        </w:numPr>
        <w:autoSpaceDE w:val="0"/>
        <w:autoSpaceDN w:val="0"/>
        <w:ind w:left="1080"/>
        <w:contextualSpacing w:val="0"/>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Except for the identity, number, and price of shares of the component securities of the Deposit Securities and Redemption Securities, as described above, confirmations to customers must disclose all other information required by Rule 10b-10(a).</w:t>
      </w:r>
    </w:p>
    <w:p w14:paraId="6815971F" w14:textId="77777777" w:rsidR="001570B2" w:rsidRDefault="001570B2" w:rsidP="001570B2">
      <w:pPr>
        <w:pStyle w:val="ListParagraph"/>
        <w:autoSpaceDE w:val="0"/>
        <w:autoSpaceDN w:val="0"/>
        <w:ind w:left="1080"/>
        <w:contextualSpacing w:val="0"/>
        <w:jc w:val="both"/>
        <w:rPr>
          <w:rFonts w:ascii="Helvetica" w:hAnsi="Helvetica" w:cs="Helvetica"/>
          <w:color w:val="3C4038" w:themeColor="text2" w:themeShade="40"/>
          <w:sz w:val="22"/>
          <w:szCs w:val="22"/>
        </w:rPr>
      </w:pPr>
    </w:p>
    <w:p w14:paraId="20F9037F" w14:textId="2BB17336" w:rsidR="002436CB" w:rsidRPr="005A69B2" w:rsidRDefault="002436CB" w:rsidP="00197835">
      <w:pPr>
        <w:pStyle w:val="BodyText"/>
        <w:widowControl/>
        <w:jc w:val="both"/>
        <w:rPr>
          <w:rFonts w:ascii="Helvetica" w:hAnsi="Helvetica" w:cs="Helvetica"/>
          <w:b/>
          <w:color w:val="3C4038" w:themeColor="text2" w:themeShade="40"/>
          <w:sz w:val="22"/>
          <w:szCs w:val="22"/>
        </w:rPr>
      </w:pPr>
      <w:bookmarkStart w:id="9" w:name="Rule_10b-17_(Untimely_Announcement_of_Re"/>
      <w:bookmarkEnd w:id="9"/>
      <w:r w:rsidRPr="005A69B2">
        <w:rPr>
          <w:rFonts w:ascii="Helvetica" w:hAnsi="Helvetica" w:cs="Helvetica"/>
          <w:b/>
          <w:color w:val="3C4038" w:themeColor="text2" w:themeShade="40"/>
          <w:sz w:val="22"/>
          <w:szCs w:val="22"/>
          <w:u w:val="single"/>
        </w:rPr>
        <w:t>Rule 10b-17 (Untimely Announcement of Record Dates)</w:t>
      </w:r>
    </w:p>
    <w:p w14:paraId="0C07D769"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p>
    <w:p w14:paraId="23DF9A6F"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The SEC has granted an exemption from the requirements of Rule 10b-17 that will cover transactions in the Shares.</w:t>
      </w:r>
    </w:p>
    <w:p w14:paraId="54344C25"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p>
    <w:p w14:paraId="755A0DA4" w14:textId="77777777" w:rsidR="002436CB" w:rsidRPr="005A69B2" w:rsidRDefault="002436CB" w:rsidP="00197835">
      <w:pPr>
        <w:pStyle w:val="BodyText"/>
        <w:widowControl/>
        <w:jc w:val="both"/>
        <w:rPr>
          <w:rFonts w:ascii="Helvetica" w:hAnsi="Helvetica" w:cs="Helvetica"/>
          <w:b/>
          <w:color w:val="3C4038" w:themeColor="text2" w:themeShade="40"/>
          <w:sz w:val="22"/>
          <w:szCs w:val="22"/>
        </w:rPr>
      </w:pPr>
      <w:bookmarkStart w:id="10" w:name="Section_11(d)(1);_Rule_11d1-2_(Customer_"/>
      <w:bookmarkEnd w:id="10"/>
      <w:r w:rsidRPr="005A69B2">
        <w:rPr>
          <w:rFonts w:ascii="Helvetica" w:hAnsi="Helvetica" w:cs="Helvetica"/>
          <w:b/>
          <w:color w:val="3C4038" w:themeColor="text2" w:themeShade="40"/>
          <w:sz w:val="22"/>
          <w:szCs w:val="22"/>
          <w:u w:val="single"/>
        </w:rPr>
        <w:t>Section 11(d)(1); Rule 11d1-2 (Customer Margin)</w:t>
      </w:r>
    </w:p>
    <w:p w14:paraId="1ACA437E"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p>
    <w:p w14:paraId="2DC6EC17" w14:textId="7D449804" w:rsidR="00565239" w:rsidRPr="00B07275" w:rsidRDefault="002436CB" w:rsidP="00197835">
      <w:pPr>
        <w:pStyle w:val="BodyText"/>
        <w:widowControl/>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The SEC has taken a no-action position under Section 11(d)(1) that will permit broker-dealers that do not create Shares but engage in both proprietary and customer  transactions in such Shares exclusively in  the secondary market to extend or maintain or arrange for the  extension or maintenance  of credit on the Shares, in connection with such secondary market transactions. For broker-dealers that engage in  the creation of Shares, the SEC has also taken a no-action position under Rule 11d1-2 that will cover the extension or maintenance or the arrangement for the extension or maintenance of credit on the Shares that have been owned by the persons to whom credit is provided for more than 30 days.</w:t>
      </w:r>
      <w:bookmarkStart w:id="11" w:name="Rule_14e-5"/>
      <w:bookmarkEnd w:id="11"/>
    </w:p>
    <w:p w14:paraId="66448C41" w14:textId="470BE1A1" w:rsidR="002436CB" w:rsidRPr="005A69B2" w:rsidRDefault="002436CB" w:rsidP="00197835">
      <w:pPr>
        <w:pStyle w:val="BodyText"/>
        <w:widowControl/>
        <w:jc w:val="both"/>
        <w:rPr>
          <w:rFonts w:ascii="Helvetica" w:hAnsi="Helvetica" w:cs="Helvetica"/>
          <w:b/>
          <w:color w:val="3C4038" w:themeColor="text2" w:themeShade="40"/>
          <w:sz w:val="22"/>
          <w:szCs w:val="22"/>
        </w:rPr>
      </w:pPr>
      <w:r w:rsidRPr="005A69B2">
        <w:rPr>
          <w:rFonts w:ascii="Helvetica" w:hAnsi="Helvetica" w:cs="Helvetica"/>
          <w:b/>
          <w:color w:val="3C4038" w:themeColor="text2" w:themeShade="40"/>
          <w:sz w:val="22"/>
          <w:szCs w:val="22"/>
          <w:u w:val="single"/>
        </w:rPr>
        <w:t>Rule 14e-5</w:t>
      </w:r>
    </w:p>
    <w:p w14:paraId="6EC5746D"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p>
    <w:p w14:paraId="28106499"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lastRenderedPageBreak/>
        <w:t>An exemption from Rule 14e-5 has been granted to permit any person acting as a dealer-manager of a tender offer for a component security of the Fund (1) to redeem Fund Shares in Creation Unit Aggregations from the issuer that may include a security subject to such tender offer and (2) to purchase Fund Shares during such tender offer. In addition, a no-action position has been taken under Rule 14e-5 if a broker-dealer acting as a dealer-manager of a tender offer for a security of the Fund purchases or arranges to purchase such securities in the secondary market for the purpose of tendering such securities to purchase one or more Creation Unit Aggregations of Shares, if made in conformance with the following:</w:t>
      </w:r>
    </w:p>
    <w:p w14:paraId="17F003BF"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p>
    <w:p w14:paraId="6DCC78C5" w14:textId="4FE6A860" w:rsidR="002436CB" w:rsidRPr="005A69B2" w:rsidRDefault="002436CB" w:rsidP="00197835">
      <w:pPr>
        <w:pStyle w:val="ListParagraph"/>
        <w:numPr>
          <w:ilvl w:val="0"/>
          <w:numId w:val="61"/>
        </w:numPr>
        <w:autoSpaceDE w:val="0"/>
        <w:autoSpaceDN w:val="0"/>
        <w:ind w:left="1080" w:hanging="359"/>
        <w:contextualSpacing w:val="0"/>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such bids or purchases are effected in the ordinary course of business, in connection with</w:t>
      </w:r>
      <w:r w:rsidR="00593C53" w:rsidRPr="005A69B2">
        <w:rPr>
          <w:rFonts w:ascii="Helvetica" w:hAnsi="Helvetica" w:cs="Helvetica"/>
          <w:color w:val="3C4038" w:themeColor="text2" w:themeShade="40"/>
          <w:sz w:val="22"/>
          <w:szCs w:val="22"/>
        </w:rPr>
        <w:t xml:space="preserve"> </w:t>
      </w:r>
      <w:r w:rsidRPr="005A69B2">
        <w:rPr>
          <w:rFonts w:ascii="Helvetica" w:hAnsi="Helvetica" w:cs="Helvetica"/>
          <w:color w:val="3C4038" w:themeColor="text2" w:themeShade="40"/>
          <w:sz w:val="22"/>
          <w:szCs w:val="22"/>
        </w:rPr>
        <w:t>a basket of 20 or more securities in which any security that is the subject of a distribution, or any reference security, does not comprise more than 5% of the value of the basket purchase; or</w:t>
      </w:r>
    </w:p>
    <w:p w14:paraId="58421B38" w14:textId="77777777" w:rsidR="002436CB" w:rsidRPr="005A69B2" w:rsidRDefault="002436CB" w:rsidP="00197835">
      <w:pPr>
        <w:pStyle w:val="BodyText"/>
        <w:widowControl/>
        <w:ind w:left="1080"/>
        <w:jc w:val="both"/>
        <w:rPr>
          <w:rFonts w:ascii="Helvetica" w:hAnsi="Helvetica" w:cs="Helvetica"/>
          <w:color w:val="3C4038" w:themeColor="text2" w:themeShade="40"/>
          <w:sz w:val="22"/>
          <w:szCs w:val="22"/>
        </w:rPr>
      </w:pPr>
    </w:p>
    <w:p w14:paraId="7B1B24B5" w14:textId="5634DBB1" w:rsidR="002436CB" w:rsidRPr="005A69B2" w:rsidRDefault="002436CB" w:rsidP="00197835">
      <w:pPr>
        <w:pStyle w:val="ListParagraph"/>
        <w:numPr>
          <w:ilvl w:val="0"/>
          <w:numId w:val="61"/>
        </w:numPr>
        <w:tabs>
          <w:tab w:val="left" w:pos="1320"/>
        </w:tabs>
        <w:autoSpaceDE w:val="0"/>
        <w:autoSpaceDN w:val="0"/>
        <w:ind w:left="1080"/>
        <w:contextualSpacing w:val="0"/>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purchases are effected as adjustments to such basket in the ordinary course of business as a result of a change in the composition of the underlying index; and</w:t>
      </w:r>
    </w:p>
    <w:p w14:paraId="5B5C2D23" w14:textId="77777777" w:rsidR="002436CB" w:rsidRPr="005A69B2" w:rsidRDefault="002436CB" w:rsidP="00197835">
      <w:pPr>
        <w:pStyle w:val="BodyText"/>
        <w:widowControl/>
        <w:ind w:left="1080"/>
        <w:jc w:val="both"/>
        <w:rPr>
          <w:rFonts w:ascii="Helvetica" w:hAnsi="Helvetica" w:cs="Helvetica"/>
          <w:color w:val="3C4038" w:themeColor="text2" w:themeShade="40"/>
          <w:sz w:val="22"/>
          <w:szCs w:val="22"/>
        </w:rPr>
      </w:pPr>
    </w:p>
    <w:p w14:paraId="7A3C7B71" w14:textId="77777777" w:rsidR="002436CB" w:rsidRPr="005A69B2" w:rsidRDefault="002436CB" w:rsidP="00197835">
      <w:pPr>
        <w:pStyle w:val="ListParagraph"/>
        <w:numPr>
          <w:ilvl w:val="0"/>
          <w:numId w:val="61"/>
        </w:numPr>
        <w:tabs>
          <w:tab w:val="left" w:pos="1320"/>
        </w:tabs>
        <w:autoSpaceDE w:val="0"/>
        <w:autoSpaceDN w:val="0"/>
        <w:ind w:left="1080" w:hanging="359"/>
        <w:contextualSpacing w:val="0"/>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such bids or purchases are not effected for the purpose of facilitating such tender offer.</w:t>
      </w:r>
    </w:p>
    <w:p w14:paraId="7D58952F"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p>
    <w:p w14:paraId="4A602515" w14:textId="77777777" w:rsidR="002436CB" w:rsidRPr="005A69B2" w:rsidRDefault="002436CB" w:rsidP="00197835">
      <w:pPr>
        <w:pStyle w:val="BodyText"/>
        <w:widowControl/>
        <w:jc w:val="both"/>
        <w:rPr>
          <w:rFonts w:ascii="Helvetica" w:hAnsi="Helvetica" w:cs="Helvetica"/>
          <w:b/>
          <w:color w:val="3C4038" w:themeColor="text2" w:themeShade="40"/>
          <w:sz w:val="22"/>
          <w:szCs w:val="22"/>
        </w:rPr>
      </w:pPr>
      <w:bookmarkStart w:id="12" w:name="SEC_Rule_15c1-5_and_15c1-6_(Disclosure_o"/>
      <w:bookmarkEnd w:id="12"/>
      <w:r w:rsidRPr="005A69B2">
        <w:rPr>
          <w:rFonts w:ascii="Helvetica" w:hAnsi="Helvetica" w:cs="Helvetica"/>
          <w:b/>
          <w:color w:val="3C4038" w:themeColor="text2" w:themeShade="40"/>
          <w:sz w:val="22"/>
          <w:szCs w:val="22"/>
          <w:u w:val="single"/>
        </w:rPr>
        <w:t>SEC Rule 15c1-5 and 15c1-6 (Disclosure of Control and interest in Distributions)</w:t>
      </w:r>
    </w:p>
    <w:p w14:paraId="657B7DF4"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p>
    <w:p w14:paraId="70D2E769" w14:textId="481743E2" w:rsidR="002436CB" w:rsidRPr="005A69B2" w:rsidRDefault="002436CB" w:rsidP="00197835">
      <w:pPr>
        <w:pStyle w:val="BodyText"/>
        <w:widowControl/>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The SEC has taken a no-action position under Rule 15c1-5 that will permit a broker-dealer to execute transactions in Shares without disclosing any control relationship with an issuer of a component security. In addition, the SEC has taken a no-action position under Rule 15c1-6 that will permit a broker dealer to execute transactions in the Shares without disclosing its participation or interest in a primary or secondary distribution of a component security.</w:t>
      </w:r>
    </w:p>
    <w:p w14:paraId="732517F0" w14:textId="77777777" w:rsidR="005A69B2" w:rsidRDefault="005A69B2" w:rsidP="00197835">
      <w:pPr>
        <w:pStyle w:val="BodyText"/>
        <w:widowControl/>
        <w:jc w:val="both"/>
        <w:rPr>
          <w:rFonts w:ascii="Helvetica" w:hAnsi="Helvetica" w:cs="Helvetica"/>
          <w:color w:val="3C4038" w:themeColor="text2" w:themeShade="40"/>
          <w:sz w:val="22"/>
          <w:szCs w:val="22"/>
        </w:rPr>
      </w:pPr>
      <w:bookmarkStart w:id="13" w:name="This_Information_Circular_is_not_a_statu"/>
      <w:bookmarkEnd w:id="13"/>
    </w:p>
    <w:p w14:paraId="66049271" w14:textId="1828DFF9" w:rsidR="002436CB" w:rsidRPr="005A69B2" w:rsidRDefault="002436CB" w:rsidP="00197835">
      <w:pPr>
        <w:pStyle w:val="BodyText"/>
        <w:widowControl/>
        <w:jc w:val="both"/>
        <w:rPr>
          <w:rFonts w:ascii="Helvetica" w:hAnsi="Helvetica" w:cs="Helvetica"/>
          <w:color w:val="3C4038" w:themeColor="text2" w:themeShade="40"/>
          <w:sz w:val="22"/>
          <w:szCs w:val="22"/>
        </w:rPr>
      </w:pPr>
      <w:r w:rsidRPr="005A69B2">
        <w:rPr>
          <w:rFonts w:ascii="Helvetica" w:hAnsi="Helvetica" w:cs="Helvetica"/>
          <w:color w:val="3C4038" w:themeColor="text2" w:themeShade="40"/>
          <w:sz w:val="22"/>
          <w:szCs w:val="22"/>
        </w:rPr>
        <w:t xml:space="preserve">This Product Circular is not a statutory prospectus. MIAX PEARL Equity Members should consult the prospectus for a security and the security’s website for relevant information. </w:t>
      </w:r>
    </w:p>
    <w:p w14:paraId="5872D716" w14:textId="77777777" w:rsidR="002436CB" w:rsidRPr="005A69B2" w:rsidRDefault="002436CB" w:rsidP="00197835">
      <w:pPr>
        <w:pStyle w:val="BodyText"/>
        <w:widowControl/>
        <w:jc w:val="both"/>
        <w:rPr>
          <w:rFonts w:ascii="Helvetica" w:hAnsi="Helvetica" w:cs="Helvetica"/>
          <w:color w:val="3C4038" w:themeColor="text2" w:themeShade="40"/>
          <w:sz w:val="22"/>
          <w:szCs w:val="22"/>
        </w:rPr>
      </w:pPr>
    </w:p>
    <w:p w14:paraId="5C7351A0" w14:textId="37143073" w:rsidR="002436CB" w:rsidRPr="005A69B2" w:rsidRDefault="002436CB" w:rsidP="00197835">
      <w:pPr>
        <w:pStyle w:val="BodyText"/>
        <w:widowControl/>
        <w:jc w:val="both"/>
        <w:rPr>
          <w:rFonts w:ascii="Helvetica" w:eastAsia="Times New Roman" w:hAnsi="Helvetica" w:cs="Helvetica"/>
          <w:color w:val="3C4038" w:themeColor="text2" w:themeShade="40"/>
          <w:sz w:val="22"/>
          <w:szCs w:val="22"/>
        </w:rPr>
      </w:pPr>
      <w:r w:rsidRPr="005A69B2">
        <w:rPr>
          <w:rFonts w:ascii="Helvetica" w:eastAsia="Times New Roman" w:hAnsi="Helvetica" w:cs="Helvetica"/>
          <w:color w:val="3C4038" w:themeColor="text2" w:themeShade="40"/>
          <w:sz w:val="22"/>
          <w:szCs w:val="22"/>
        </w:rPr>
        <w:t xml:space="preserve">Please direct product listing questions to MIAX PEARL Equities Listings at </w:t>
      </w:r>
      <w:hyperlink r:id="rId9" w:history="1">
        <w:r w:rsidR="00F9368F" w:rsidRPr="005A69B2">
          <w:rPr>
            <w:rStyle w:val="Hyperlink"/>
            <w:rFonts w:eastAsia="Times New Roman" w:cs="Helvetica"/>
            <w:sz w:val="22"/>
            <w:szCs w:val="22"/>
          </w:rPr>
          <w:t>Listings@MIAXOptions.com</w:t>
        </w:r>
      </w:hyperlink>
      <w:r w:rsidR="00F9368F" w:rsidRPr="005A69B2">
        <w:rPr>
          <w:rFonts w:ascii="Helvetica" w:eastAsia="Times New Roman" w:hAnsi="Helvetica" w:cs="Helvetica"/>
          <w:color w:val="414041" w:themeColor="text1"/>
          <w:sz w:val="22"/>
          <w:szCs w:val="22"/>
        </w:rPr>
        <w:t xml:space="preserve"> </w:t>
      </w:r>
      <w:r w:rsidRPr="005A69B2">
        <w:rPr>
          <w:rFonts w:ascii="Helvetica" w:eastAsia="Times New Roman" w:hAnsi="Helvetica" w:cs="Helvetica"/>
          <w:color w:val="3C4038" w:themeColor="text2" w:themeShade="40"/>
          <w:sz w:val="22"/>
          <w:szCs w:val="22"/>
        </w:rPr>
        <w:t xml:space="preserve">or (609) 897-7308. </w:t>
      </w:r>
    </w:p>
    <w:p w14:paraId="4F0F48E8" w14:textId="77777777" w:rsidR="002436CB" w:rsidRPr="005A69B2" w:rsidRDefault="002436CB" w:rsidP="00197835">
      <w:pPr>
        <w:pStyle w:val="BodyText"/>
        <w:widowControl/>
        <w:jc w:val="both"/>
        <w:rPr>
          <w:rFonts w:ascii="Helvetica" w:eastAsia="Times New Roman" w:hAnsi="Helvetica" w:cs="Helvetica"/>
          <w:color w:val="3C4038" w:themeColor="text2" w:themeShade="40"/>
          <w:sz w:val="22"/>
          <w:szCs w:val="22"/>
        </w:rPr>
      </w:pPr>
    </w:p>
    <w:p w14:paraId="10BA07B2" w14:textId="2AC6A95C" w:rsidR="00BE3086" w:rsidRPr="005A69B2" w:rsidRDefault="002436CB" w:rsidP="00197835">
      <w:pPr>
        <w:pStyle w:val="BodyText"/>
        <w:widowControl/>
        <w:jc w:val="both"/>
        <w:rPr>
          <w:rFonts w:ascii="Helvetica" w:hAnsi="Helvetica" w:cs="Helvetica"/>
          <w:color w:val="414041" w:themeColor="text1"/>
          <w:sz w:val="22"/>
          <w:szCs w:val="22"/>
        </w:rPr>
      </w:pPr>
      <w:r w:rsidRPr="005A69B2">
        <w:rPr>
          <w:rFonts w:ascii="Helvetica" w:eastAsia="Times New Roman" w:hAnsi="Helvetica" w:cs="Helvetica"/>
          <w:color w:val="3C4038" w:themeColor="text2" w:themeShade="40"/>
          <w:sz w:val="22"/>
          <w:szCs w:val="22"/>
        </w:rPr>
        <w:t>Please direct regulatory questions to the MIAX PEARL Regulatory Department at (609) 897-7309</w:t>
      </w:r>
      <w:r w:rsidR="00F9368F" w:rsidRPr="005A69B2">
        <w:rPr>
          <w:rFonts w:ascii="Helvetica" w:eastAsia="Times New Roman" w:hAnsi="Helvetica" w:cs="Helvetica"/>
          <w:color w:val="3C4038" w:themeColor="text2" w:themeShade="40"/>
          <w:sz w:val="22"/>
          <w:szCs w:val="22"/>
        </w:rPr>
        <w:t xml:space="preserve"> or </w:t>
      </w:r>
      <w:hyperlink r:id="rId10" w:history="1">
        <w:r w:rsidR="00F9368F" w:rsidRPr="005A69B2">
          <w:rPr>
            <w:rStyle w:val="Hyperlink"/>
            <w:rFonts w:eastAsia="Times New Roman" w:cs="Helvetica"/>
            <w:sz w:val="22"/>
            <w:szCs w:val="22"/>
          </w:rPr>
          <w:t>Regulatory@MIAXOptions.com</w:t>
        </w:r>
      </w:hyperlink>
      <w:r w:rsidR="00F9368F" w:rsidRPr="005A69B2">
        <w:rPr>
          <w:rFonts w:ascii="Helvetica" w:eastAsia="Times New Roman" w:hAnsi="Helvetica" w:cs="Helvetica"/>
          <w:color w:val="414041" w:themeColor="text1"/>
          <w:sz w:val="22"/>
          <w:szCs w:val="22"/>
        </w:rPr>
        <w:t>.</w:t>
      </w:r>
    </w:p>
    <w:sectPr w:rsidR="00BE3086" w:rsidRPr="005A69B2" w:rsidSect="005C569C">
      <w:headerReference w:type="default" r:id="rId11"/>
      <w:footerReference w:type="default" r:id="rId12"/>
      <w:pgSz w:w="12240" w:h="15840"/>
      <w:pgMar w:top="2203" w:right="907" w:bottom="1440" w:left="907" w:header="648"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F8A53" w14:textId="77777777" w:rsidR="00F049CA" w:rsidRDefault="00F049CA" w:rsidP="001C35FD">
      <w:r>
        <w:separator/>
      </w:r>
    </w:p>
  </w:endnote>
  <w:endnote w:type="continuationSeparator" w:id="0">
    <w:p w14:paraId="4DB0966A" w14:textId="77777777" w:rsidR="00F049CA" w:rsidRDefault="00F049CA" w:rsidP="001C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Oblique">
    <w:altName w:val="Times New Roman"/>
    <w:charset w:val="00"/>
    <w:family w:val="auto"/>
    <w:pitch w:val="variable"/>
    <w:sig w:usb0="E00002FF" w:usb1="5000785B"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Roboto">
    <w:altName w:val="Arial"/>
    <w:charset w:val="00"/>
    <w:family w:val="auto"/>
    <w:pitch w:val="variable"/>
    <w:sig w:usb0="E00002EF" w:usb1="5000205B" w:usb2="00000020" w:usb3="00000000" w:csb0="0000019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elvetica" w:hAnsi="Helvetica"/>
        <w:color w:val="414041" w:themeColor="text1"/>
        <w:sz w:val="16"/>
        <w:szCs w:val="16"/>
      </w:rPr>
      <w:id w:val="-722288228"/>
      <w:docPartObj>
        <w:docPartGallery w:val="Page Numbers (Bottom of Page)"/>
        <w:docPartUnique/>
      </w:docPartObj>
    </w:sdtPr>
    <w:sdtEndPr>
      <w:rPr>
        <w:rFonts w:cs="Helvetica"/>
        <w:noProof/>
        <w:color w:val="F15822" w:themeColor="background2"/>
        <w:sz w:val="18"/>
        <w:szCs w:val="18"/>
      </w:rPr>
    </w:sdtEndPr>
    <w:sdtContent>
      <w:p w14:paraId="1115D879" w14:textId="72BDE13A" w:rsidR="00DE5465" w:rsidRPr="00157616" w:rsidRDefault="000553B7" w:rsidP="00DE5465">
        <w:pPr>
          <w:pStyle w:val="Footer"/>
        </w:pPr>
        <w:r>
          <w:rPr>
            <w:rFonts w:ascii="Helvetica" w:hAnsi="Helvetica" w:cs="Helvetica"/>
            <w:color w:val="414041" w:themeColor="text1"/>
            <w:sz w:val="18"/>
            <w:szCs w:val="18"/>
          </w:rPr>
          <w:t>© 2021</w:t>
        </w:r>
        <w:r w:rsidR="00DE5465" w:rsidRPr="00DE5465">
          <w:rPr>
            <w:rFonts w:ascii="Helvetica" w:hAnsi="Helvetica" w:cs="Helvetica"/>
            <w:color w:val="414041" w:themeColor="text1"/>
            <w:sz w:val="18"/>
            <w:szCs w:val="18"/>
          </w:rPr>
          <w:t xml:space="preserve"> Miami International Holdings, Inc. and its subsidiaries. All Rights Reserved.</w:t>
        </w:r>
        <w:r w:rsidR="00DE5465">
          <w:rPr>
            <w:rFonts w:ascii="Helvetica" w:hAnsi="Helvetica" w:cs="Helvetica"/>
            <w:color w:val="414041" w:themeColor="text1"/>
            <w:sz w:val="18"/>
            <w:szCs w:val="18"/>
          </w:rPr>
          <w:t xml:space="preserve">                                                                          </w:t>
        </w:r>
        <w:r w:rsidR="00DE5465" w:rsidRPr="00DE5465">
          <w:rPr>
            <w:rFonts w:ascii="Helvetica" w:hAnsi="Helvetica" w:cs="Helvetica"/>
            <w:color w:val="F15822" w:themeColor="background2"/>
            <w:sz w:val="18"/>
            <w:szCs w:val="18"/>
          </w:rPr>
          <w:fldChar w:fldCharType="begin"/>
        </w:r>
        <w:r w:rsidR="00DE5465" w:rsidRPr="00DE5465">
          <w:rPr>
            <w:rFonts w:ascii="Helvetica" w:hAnsi="Helvetica" w:cs="Helvetica"/>
            <w:color w:val="F15822" w:themeColor="background2"/>
            <w:sz w:val="18"/>
            <w:szCs w:val="18"/>
          </w:rPr>
          <w:instrText xml:space="preserve"> PAGE   \* MERGEFORMAT </w:instrText>
        </w:r>
        <w:r w:rsidR="00DE5465" w:rsidRPr="00DE5465">
          <w:rPr>
            <w:rFonts w:ascii="Helvetica" w:hAnsi="Helvetica" w:cs="Helvetica"/>
            <w:color w:val="F15822" w:themeColor="background2"/>
            <w:sz w:val="18"/>
            <w:szCs w:val="18"/>
          </w:rPr>
          <w:fldChar w:fldCharType="separate"/>
        </w:r>
        <w:r w:rsidR="00972E75">
          <w:rPr>
            <w:rFonts w:ascii="Helvetica" w:hAnsi="Helvetica" w:cs="Helvetica"/>
            <w:noProof/>
            <w:color w:val="F15822" w:themeColor="background2"/>
            <w:sz w:val="18"/>
            <w:szCs w:val="18"/>
          </w:rPr>
          <w:t>1</w:t>
        </w:r>
        <w:r w:rsidR="00DE5465" w:rsidRPr="00DE5465">
          <w:rPr>
            <w:rFonts w:ascii="Helvetica" w:hAnsi="Helvetica" w:cs="Helvetica"/>
            <w:noProof/>
            <w:color w:val="F15822" w:themeColor="background2"/>
            <w:sz w:val="18"/>
            <w:szCs w:val="18"/>
          </w:rPr>
          <w:fldChar w:fldCharType="end"/>
        </w:r>
      </w:p>
    </w:sdtContent>
  </w:sdt>
  <w:p w14:paraId="09DB283F" w14:textId="77777777" w:rsidR="00B76722" w:rsidRDefault="00B76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DA924" w14:textId="77777777" w:rsidR="00F049CA" w:rsidRDefault="00F049CA" w:rsidP="001C35FD">
      <w:r>
        <w:separator/>
      </w:r>
    </w:p>
  </w:footnote>
  <w:footnote w:type="continuationSeparator" w:id="0">
    <w:p w14:paraId="5A2EBB46" w14:textId="77777777" w:rsidR="00F049CA" w:rsidRDefault="00F049CA" w:rsidP="001C3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76AB8" w14:textId="0A60B883" w:rsidR="00825FA6" w:rsidRPr="00E25D48" w:rsidRDefault="00825FA6" w:rsidP="00D80528">
    <w:pPr>
      <w:tabs>
        <w:tab w:val="left" w:pos="2496"/>
      </w:tabs>
      <w:spacing w:line="276" w:lineRule="auto"/>
      <w:rPr>
        <w:rFonts w:ascii="Helvetica" w:hAnsi="Helvetica"/>
        <w:sz w:val="18"/>
        <w:szCs w:val="18"/>
      </w:rPr>
    </w:pPr>
    <w:r w:rsidRPr="00E25D48">
      <w:rPr>
        <w:rFonts w:ascii="Helvetica" w:hAnsi="Helvetica"/>
        <w:b/>
        <w:bCs/>
        <w:iCs/>
        <w:noProof/>
        <w:sz w:val="18"/>
        <w:szCs w:val="18"/>
      </w:rPr>
      <w:drawing>
        <wp:anchor distT="0" distB="0" distL="114300" distR="114300" simplePos="0" relativeHeight="251680768" behindDoc="0" locked="0" layoutInCell="1" allowOverlap="1" wp14:anchorId="66CEE9A8" wp14:editId="3C3DA32E">
          <wp:simplePos x="0" y="0"/>
          <wp:positionH relativeFrom="column">
            <wp:posOffset>5915007</wp:posOffset>
          </wp:positionH>
          <wp:positionV relativeFrom="page">
            <wp:posOffset>382158</wp:posOffset>
          </wp:positionV>
          <wp:extent cx="750023" cy="445575"/>
          <wp:effectExtent l="0" t="0" r="0" b="0"/>
          <wp:wrapNone/>
          <wp:docPr id="50" name="Graphic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pic:cNvPicPr/>
                </pic:nvPicPr>
                <pic:blipFill>
                  <a:blip r:embed="rId1">
                    <a:extLst>
                      <a:ext uri="{28A0092B-C50C-407E-A947-70E740481C1C}">
                        <a14:useLocalDpi xmlns:a14="http://schemas.microsoft.com/office/drawing/2010/main" val="0"/>
                      </a:ext>
                    </a:extLst>
                  </a:blip>
                  <a:stretch>
                    <a:fillRect/>
                  </a:stretch>
                </pic:blipFill>
                <pic:spPr>
                  <a:xfrm>
                    <a:off x="0" y="0"/>
                    <a:ext cx="750023" cy="445575"/>
                  </a:xfrm>
                  <a:prstGeom prst="rect">
                    <a:avLst/>
                  </a:prstGeom>
                </pic:spPr>
              </pic:pic>
            </a:graphicData>
          </a:graphic>
          <wp14:sizeRelH relativeFrom="page">
            <wp14:pctWidth>0</wp14:pctWidth>
          </wp14:sizeRelH>
          <wp14:sizeRelV relativeFrom="page">
            <wp14:pctHeight>0</wp14:pctHeight>
          </wp14:sizeRelV>
        </wp:anchor>
      </w:drawing>
    </w:r>
  </w:p>
  <w:p w14:paraId="1D75E3C4" w14:textId="23A9FA33" w:rsidR="00825FA6" w:rsidRPr="00157616" w:rsidRDefault="00825FA6" w:rsidP="00BB7D7E">
    <w:pPr>
      <w:tabs>
        <w:tab w:val="left" w:pos="2496"/>
      </w:tabs>
      <w:jc w:val="right"/>
      <w:rPr>
        <w:rFonts w:ascii="Helvetica" w:hAnsi="Helvetic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C437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57017B"/>
    <w:multiLevelType w:val="hybridMultilevel"/>
    <w:tmpl w:val="17125D40"/>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F5981"/>
    <w:multiLevelType w:val="hybridMultilevel"/>
    <w:tmpl w:val="D3E8EDA4"/>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55CC6"/>
    <w:multiLevelType w:val="hybridMultilevel"/>
    <w:tmpl w:val="D520CE1C"/>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805BD"/>
    <w:multiLevelType w:val="hybridMultilevel"/>
    <w:tmpl w:val="A952305E"/>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95310D"/>
    <w:multiLevelType w:val="hybridMultilevel"/>
    <w:tmpl w:val="0F62A1DE"/>
    <w:lvl w:ilvl="0" w:tplc="B352C1C6">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B6C28"/>
    <w:multiLevelType w:val="hybridMultilevel"/>
    <w:tmpl w:val="B53EB7F0"/>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710B0"/>
    <w:multiLevelType w:val="hybridMultilevel"/>
    <w:tmpl w:val="A5927C44"/>
    <w:lvl w:ilvl="0" w:tplc="CB82D68E">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2943CD"/>
    <w:multiLevelType w:val="hybridMultilevel"/>
    <w:tmpl w:val="88464BE2"/>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346139"/>
    <w:multiLevelType w:val="hybridMultilevel"/>
    <w:tmpl w:val="30D0FC22"/>
    <w:lvl w:ilvl="0" w:tplc="B352C1C6">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096F3C"/>
    <w:multiLevelType w:val="hybridMultilevel"/>
    <w:tmpl w:val="F7CE2C02"/>
    <w:lvl w:ilvl="0" w:tplc="D4D204C6">
      <w:start w:val="1"/>
      <w:numFmt w:val="bullet"/>
      <w:pStyle w:val="BulletMIAX"/>
      <w:lvlText w:val=""/>
      <w:lvlJc w:val="left"/>
      <w:pPr>
        <w:ind w:left="360" w:hanging="216"/>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3C20EE"/>
    <w:multiLevelType w:val="hybridMultilevel"/>
    <w:tmpl w:val="89C4B4EE"/>
    <w:lvl w:ilvl="0" w:tplc="82543A9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C256A"/>
    <w:multiLevelType w:val="hybridMultilevel"/>
    <w:tmpl w:val="3B080D8A"/>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7028C"/>
    <w:multiLevelType w:val="hybridMultilevel"/>
    <w:tmpl w:val="CE424936"/>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868FA"/>
    <w:multiLevelType w:val="hybridMultilevel"/>
    <w:tmpl w:val="015691B6"/>
    <w:lvl w:ilvl="0" w:tplc="B352C1C6">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B3F64"/>
    <w:multiLevelType w:val="hybridMultilevel"/>
    <w:tmpl w:val="24005D2C"/>
    <w:lvl w:ilvl="0" w:tplc="B352C1C6">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B45305"/>
    <w:multiLevelType w:val="hybridMultilevel"/>
    <w:tmpl w:val="81ECC388"/>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504526"/>
    <w:multiLevelType w:val="hybridMultilevel"/>
    <w:tmpl w:val="F676990A"/>
    <w:lvl w:ilvl="0" w:tplc="9C9234D0">
      <w:start w:val="1"/>
      <w:numFmt w:val="decimal"/>
      <w:lvlText w:val="%1)"/>
      <w:lvlJc w:val="left"/>
      <w:pPr>
        <w:ind w:left="1320" w:hanging="360"/>
      </w:pPr>
      <w:rPr>
        <w:rFonts w:ascii="Arial" w:eastAsia="Arial" w:hAnsi="Arial" w:cs="Arial" w:hint="default"/>
        <w:spacing w:val="-1"/>
        <w:w w:val="99"/>
        <w:sz w:val="20"/>
        <w:szCs w:val="20"/>
        <w:lang w:val="en-US" w:eastAsia="en-US" w:bidi="en-US"/>
      </w:rPr>
    </w:lvl>
    <w:lvl w:ilvl="1" w:tplc="7F9049BE">
      <w:numFmt w:val="bullet"/>
      <w:lvlText w:val="•"/>
      <w:lvlJc w:val="left"/>
      <w:pPr>
        <w:ind w:left="2180" w:hanging="360"/>
      </w:pPr>
      <w:rPr>
        <w:rFonts w:hint="default"/>
        <w:lang w:val="en-US" w:eastAsia="en-US" w:bidi="en-US"/>
      </w:rPr>
    </w:lvl>
    <w:lvl w:ilvl="2" w:tplc="55760CF4">
      <w:numFmt w:val="bullet"/>
      <w:lvlText w:val="•"/>
      <w:lvlJc w:val="left"/>
      <w:pPr>
        <w:ind w:left="3040" w:hanging="360"/>
      </w:pPr>
      <w:rPr>
        <w:rFonts w:hint="default"/>
        <w:lang w:val="en-US" w:eastAsia="en-US" w:bidi="en-US"/>
      </w:rPr>
    </w:lvl>
    <w:lvl w:ilvl="3" w:tplc="31A02452">
      <w:numFmt w:val="bullet"/>
      <w:lvlText w:val="•"/>
      <w:lvlJc w:val="left"/>
      <w:pPr>
        <w:ind w:left="3900" w:hanging="360"/>
      </w:pPr>
      <w:rPr>
        <w:rFonts w:hint="default"/>
        <w:lang w:val="en-US" w:eastAsia="en-US" w:bidi="en-US"/>
      </w:rPr>
    </w:lvl>
    <w:lvl w:ilvl="4" w:tplc="B75A9240">
      <w:numFmt w:val="bullet"/>
      <w:lvlText w:val="•"/>
      <w:lvlJc w:val="left"/>
      <w:pPr>
        <w:ind w:left="4760" w:hanging="360"/>
      </w:pPr>
      <w:rPr>
        <w:rFonts w:hint="default"/>
        <w:lang w:val="en-US" w:eastAsia="en-US" w:bidi="en-US"/>
      </w:rPr>
    </w:lvl>
    <w:lvl w:ilvl="5" w:tplc="4F0C1152">
      <w:numFmt w:val="bullet"/>
      <w:lvlText w:val="•"/>
      <w:lvlJc w:val="left"/>
      <w:pPr>
        <w:ind w:left="5620" w:hanging="360"/>
      </w:pPr>
      <w:rPr>
        <w:rFonts w:hint="default"/>
        <w:lang w:val="en-US" w:eastAsia="en-US" w:bidi="en-US"/>
      </w:rPr>
    </w:lvl>
    <w:lvl w:ilvl="6" w:tplc="EBF4B112">
      <w:numFmt w:val="bullet"/>
      <w:lvlText w:val="•"/>
      <w:lvlJc w:val="left"/>
      <w:pPr>
        <w:ind w:left="6480" w:hanging="360"/>
      </w:pPr>
      <w:rPr>
        <w:rFonts w:hint="default"/>
        <w:lang w:val="en-US" w:eastAsia="en-US" w:bidi="en-US"/>
      </w:rPr>
    </w:lvl>
    <w:lvl w:ilvl="7" w:tplc="951A7184">
      <w:numFmt w:val="bullet"/>
      <w:lvlText w:val="•"/>
      <w:lvlJc w:val="left"/>
      <w:pPr>
        <w:ind w:left="7340" w:hanging="360"/>
      </w:pPr>
      <w:rPr>
        <w:rFonts w:hint="default"/>
        <w:lang w:val="en-US" w:eastAsia="en-US" w:bidi="en-US"/>
      </w:rPr>
    </w:lvl>
    <w:lvl w:ilvl="8" w:tplc="5694DE84">
      <w:numFmt w:val="bullet"/>
      <w:lvlText w:val="•"/>
      <w:lvlJc w:val="left"/>
      <w:pPr>
        <w:ind w:left="8200" w:hanging="360"/>
      </w:pPr>
      <w:rPr>
        <w:rFonts w:hint="default"/>
        <w:lang w:val="en-US" w:eastAsia="en-US" w:bidi="en-US"/>
      </w:rPr>
    </w:lvl>
  </w:abstractNum>
  <w:abstractNum w:abstractNumId="18" w15:restartNumberingAfterBreak="0">
    <w:nsid w:val="2C9B6997"/>
    <w:multiLevelType w:val="hybridMultilevel"/>
    <w:tmpl w:val="3A5AE592"/>
    <w:lvl w:ilvl="0" w:tplc="B352C1C6">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069E2"/>
    <w:multiLevelType w:val="hybridMultilevel"/>
    <w:tmpl w:val="DD3CF092"/>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C74B6"/>
    <w:multiLevelType w:val="hybridMultilevel"/>
    <w:tmpl w:val="747878CE"/>
    <w:lvl w:ilvl="0" w:tplc="1316B15C">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B7197"/>
    <w:multiLevelType w:val="hybridMultilevel"/>
    <w:tmpl w:val="F64A2CDC"/>
    <w:lvl w:ilvl="0" w:tplc="B352C1C6">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7304F5"/>
    <w:multiLevelType w:val="hybridMultilevel"/>
    <w:tmpl w:val="BAB68BC8"/>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B732E2"/>
    <w:multiLevelType w:val="hybridMultilevel"/>
    <w:tmpl w:val="9048AC98"/>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932A97"/>
    <w:multiLevelType w:val="hybridMultilevel"/>
    <w:tmpl w:val="3ECEDA4C"/>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366BAD"/>
    <w:multiLevelType w:val="hybridMultilevel"/>
    <w:tmpl w:val="11B6C8EA"/>
    <w:lvl w:ilvl="0" w:tplc="B352C1C6">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14356D6"/>
    <w:multiLevelType w:val="hybridMultilevel"/>
    <w:tmpl w:val="13645BA2"/>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731E77"/>
    <w:multiLevelType w:val="hybridMultilevel"/>
    <w:tmpl w:val="C76E6EF0"/>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BC0605"/>
    <w:multiLevelType w:val="hybridMultilevel"/>
    <w:tmpl w:val="21FC0382"/>
    <w:lvl w:ilvl="0" w:tplc="CB82D68E">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2E20EB"/>
    <w:multiLevelType w:val="hybridMultilevel"/>
    <w:tmpl w:val="29180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32BE4"/>
    <w:multiLevelType w:val="hybridMultilevel"/>
    <w:tmpl w:val="DAE04FD6"/>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6B3D32"/>
    <w:multiLevelType w:val="hybridMultilevel"/>
    <w:tmpl w:val="1F3EFC42"/>
    <w:lvl w:ilvl="0" w:tplc="CB82D68E">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C73568"/>
    <w:multiLevelType w:val="hybridMultilevel"/>
    <w:tmpl w:val="1ED8AE1A"/>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EC6465"/>
    <w:multiLevelType w:val="hybridMultilevel"/>
    <w:tmpl w:val="DDEA13BE"/>
    <w:lvl w:ilvl="0" w:tplc="B352C1C6">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3009D1"/>
    <w:multiLevelType w:val="hybridMultilevel"/>
    <w:tmpl w:val="8E804CF2"/>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667548"/>
    <w:multiLevelType w:val="hybridMultilevel"/>
    <w:tmpl w:val="207486A6"/>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A723DD"/>
    <w:multiLevelType w:val="hybridMultilevel"/>
    <w:tmpl w:val="FC249E0E"/>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40238E"/>
    <w:multiLevelType w:val="hybridMultilevel"/>
    <w:tmpl w:val="906C2038"/>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A02B21"/>
    <w:multiLevelType w:val="hybridMultilevel"/>
    <w:tmpl w:val="378C7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D10177"/>
    <w:multiLevelType w:val="hybridMultilevel"/>
    <w:tmpl w:val="F8FCA82E"/>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B3040D"/>
    <w:multiLevelType w:val="hybridMultilevel"/>
    <w:tmpl w:val="185E298A"/>
    <w:lvl w:ilvl="0" w:tplc="CB82D68E">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BA0D3A"/>
    <w:multiLevelType w:val="hybridMultilevel"/>
    <w:tmpl w:val="3E70AF20"/>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F730F5"/>
    <w:multiLevelType w:val="hybridMultilevel"/>
    <w:tmpl w:val="B61E2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9446E8"/>
    <w:multiLevelType w:val="hybridMultilevel"/>
    <w:tmpl w:val="B554FE7C"/>
    <w:lvl w:ilvl="0" w:tplc="0DAA9D1C">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8B451D"/>
    <w:multiLevelType w:val="hybridMultilevel"/>
    <w:tmpl w:val="71868C8C"/>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A34E32"/>
    <w:multiLevelType w:val="hybridMultilevel"/>
    <w:tmpl w:val="2656139A"/>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913B39"/>
    <w:multiLevelType w:val="hybridMultilevel"/>
    <w:tmpl w:val="54E8DD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B33760"/>
    <w:multiLevelType w:val="hybridMultilevel"/>
    <w:tmpl w:val="4B0204D4"/>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7E215D"/>
    <w:multiLevelType w:val="hybridMultilevel"/>
    <w:tmpl w:val="5F9435D4"/>
    <w:lvl w:ilvl="0" w:tplc="6AA4898E">
      <w:start w:val="1"/>
      <w:numFmt w:val="decimal"/>
      <w:lvlText w:val="%1)"/>
      <w:lvlJc w:val="left"/>
      <w:pPr>
        <w:ind w:left="1319" w:hanging="360"/>
      </w:pPr>
      <w:rPr>
        <w:rFonts w:ascii="Arial" w:eastAsia="Arial" w:hAnsi="Arial" w:cs="Arial" w:hint="default"/>
        <w:spacing w:val="-1"/>
        <w:w w:val="99"/>
        <w:sz w:val="20"/>
        <w:szCs w:val="20"/>
        <w:lang w:val="en-US" w:eastAsia="en-US" w:bidi="en-US"/>
      </w:rPr>
    </w:lvl>
    <w:lvl w:ilvl="1" w:tplc="892CCE1A">
      <w:numFmt w:val="bullet"/>
      <w:lvlText w:val="•"/>
      <w:lvlJc w:val="left"/>
      <w:pPr>
        <w:ind w:left="2180" w:hanging="360"/>
      </w:pPr>
      <w:rPr>
        <w:rFonts w:hint="default"/>
        <w:lang w:val="en-US" w:eastAsia="en-US" w:bidi="en-US"/>
      </w:rPr>
    </w:lvl>
    <w:lvl w:ilvl="2" w:tplc="465A66B8">
      <w:numFmt w:val="bullet"/>
      <w:lvlText w:val="•"/>
      <w:lvlJc w:val="left"/>
      <w:pPr>
        <w:ind w:left="3040" w:hanging="360"/>
      </w:pPr>
      <w:rPr>
        <w:rFonts w:hint="default"/>
        <w:lang w:val="en-US" w:eastAsia="en-US" w:bidi="en-US"/>
      </w:rPr>
    </w:lvl>
    <w:lvl w:ilvl="3" w:tplc="18FA9284">
      <w:numFmt w:val="bullet"/>
      <w:lvlText w:val="•"/>
      <w:lvlJc w:val="left"/>
      <w:pPr>
        <w:ind w:left="3900" w:hanging="360"/>
      </w:pPr>
      <w:rPr>
        <w:rFonts w:hint="default"/>
        <w:lang w:val="en-US" w:eastAsia="en-US" w:bidi="en-US"/>
      </w:rPr>
    </w:lvl>
    <w:lvl w:ilvl="4" w:tplc="3FA85F52">
      <w:numFmt w:val="bullet"/>
      <w:lvlText w:val="•"/>
      <w:lvlJc w:val="left"/>
      <w:pPr>
        <w:ind w:left="4760" w:hanging="360"/>
      </w:pPr>
      <w:rPr>
        <w:rFonts w:hint="default"/>
        <w:lang w:val="en-US" w:eastAsia="en-US" w:bidi="en-US"/>
      </w:rPr>
    </w:lvl>
    <w:lvl w:ilvl="5" w:tplc="5A2819B6">
      <w:numFmt w:val="bullet"/>
      <w:lvlText w:val="•"/>
      <w:lvlJc w:val="left"/>
      <w:pPr>
        <w:ind w:left="5620" w:hanging="360"/>
      </w:pPr>
      <w:rPr>
        <w:rFonts w:hint="default"/>
        <w:lang w:val="en-US" w:eastAsia="en-US" w:bidi="en-US"/>
      </w:rPr>
    </w:lvl>
    <w:lvl w:ilvl="6" w:tplc="D220962A">
      <w:numFmt w:val="bullet"/>
      <w:lvlText w:val="•"/>
      <w:lvlJc w:val="left"/>
      <w:pPr>
        <w:ind w:left="6480" w:hanging="360"/>
      </w:pPr>
      <w:rPr>
        <w:rFonts w:hint="default"/>
        <w:lang w:val="en-US" w:eastAsia="en-US" w:bidi="en-US"/>
      </w:rPr>
    </w:lvl>
    <w:lvl w:ilvl="7" w:tplc="420AF8F2">
      <w:numFmt w:val="bullet"/>
      <w:lvlText w:val="•"/>
      <w:lvlJc w:val="left"/>
      <w:pPr>
        <w:ind w:left="7340" w:hanging="360"/>
      </w:pPr>
      <w:rPr>
        <w:rFonts w:hint="default"/>
        <w:lang w:val="en-US" w:eastAsia="en-US" w:bidi="en-US"/>
      </w:rPr>
    </w:lvl>
    <w:lvl w:ilvl="8" w:tplc="1F9E733C">
      <w:numFmt w:val="bullet"/>
      <w:lvlText w:val="•"/>
      <w:lvlJc w:val="left"/>
      <w:pPr>
        <w:ind w:left="8200" w:hanging="360"/>
      </w:pPr>
      <w:rPr>
        <w:rFonts w:hint="default"/>
        <w:lang w:val="en-US" w:eastAsia="en-US" w:bidi="en-US"/>
      </w:rPr>
    </w:lvl>
  </w:abstractNum>
  <w:abstractNum w:abstractNumId="49" w15:restartNumberingAfterBreak="0">
    <w:nsid w:val="683D3E62"/>
    <w:multiLevelType w:val="hybridMultilevel"/>
    <w:tmpl w:val="F05A42D4"/>
    <w:lvl w:ilvl="0" w:tplc="B352C1C6">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B9C1625"/>
    <w:multiLevelType w:val="hybridMultilevel"/>
    <w:tmpl w:val="7D64E7B4"/>
    <w:lvl w:ilvl="0" w:tplc="CB82D68E">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9C0E0A"/>
    <w:multiLevelType w:val="hybridMultilevel"/>
    <w:tmpl w:val="865C03AA"/>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D02554"/>
    <w:multiLevelType w:val="hybridMultilevel"/>
    <w:tmpl w:val="9EACC33E"/>
    <w:lvl w:ilvl="0" w:tplc="1316B15C">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E8530E"/>
    <w:multiLevelType w:val="hybridMultilevel"/>
    <w:tmpl w:val="149A9A58"/>
    <w:lvl w:ilvl="0" w:tplc="B352C1C6">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7020E5"/>
    <w:multiLevelType w:val="hybridMultilevel"/>
    <w:tmpl w:val="65E6AF4E"/>
    <w:lvl w:ilvl="0" w:tplc="16A2A3E4">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744497"/>
    <w:multiLevelType w:val="hybridMultilevel"/>
    <w:tmpl w:val="3FAE81A2"/>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9D69BE"/>
    <w:multiLevelType w:val="hybridMultilevel"/>
    <w:tmpl w:val="EB66312E"/>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6F519F"/>
    <w:multiLevelType w:val="hybridMultilevel"/>
    <w:tmpl w:val="E9E82C28"/>
    <w:lvl w:ilvl="0" w:tplc="B352C1C6">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964FF8"/>
    <w:multiLevelType w:val="hybridMultilevel"/>
    <w:tmpl w:val="4EF46FE0"/>
    <w:lvl w:ilvl="0" w:tplc="B352C1C6">
      <w:start w:val="1"/>
      <w:numFmt w:val="bullet"/>
      <w:lvlText w:val=""/>
      <w:lvlJc w:val="left"/>
      <w:pPr>
        <w:ind w:left="720" w:hanging="360"/>
      </w:pPr>
      <w:rPr>
        <w:rFonts w:ascii="Symbol" w:hAnsi="Symbol" w:hint="default"/>
        <w:color w:val="F1584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CAF23B7"/>
    <w:multiLevelType w:val="hybridMultilevel"/>
    <w:tmpl w:val="A5342ACE"/>
    <w:lvl w:ilvl="0" w:tplc="CB82D68E">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F220EF3"/>
    <w:multiLevelType w:val="hybridMultilevel"/>
    <w:tmpl w:val="AFC0D3DE"/>
    <w:lvl w:ilvl="0" w:tplc="CB82D68E">
      <w:start w:val="1"/>
      <w:numFmt w:val="bullet"/>
      <w:lvlText w:val=""/>
      <w:lvlJc w:val="left"/>
      <w:pPr>
        <w:ind w:left="648" w:hanging="288"/>
      </w:pPr>
      <w:rPr>
        <w:rFonts w:ascii="Symbol" w:hAnsi="Symbol" w:hint="default"/>
        <w:color w:val="F15841"/>
      </w:rPr>
    </w:lvl>
    <w:lvl w:ilvl="1" w:tplc="8F064F7E">
      <w:start w:val="1"/>
      <w:numFmt w:val="bullet"/>
      <w:lvlText w:val="o"/>
      <w:lvlJc w:val="left"/>
      <w:pPr>
        <w:ind w:left="1440" w:hanging="360"/>
      </w:pPr>
      <w:rPr>
        <w:rFonts w:ascii="Courier New" w:hAnsi="Courier New" w:cs="Courier New" w:hint="default"/>
        <w:color w:val="414041"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FFC2B95"/>
    <w:multiLevelType w:val="hybridMultilevel"/>
    <w:tmpl w:val="6130D9A8"/>
    <w:lvl w:ilvl="0" w:tplc="CB82D68E">
      <w:start w:val="1"/>
      <w:numFmt w:val="bullet"/>
      <w:lvlText w:val=""/>
      <w:lvlJc w:val="left"/>
      <w:pPr>
        <w:ind w:left="720" w:hanging="360"/>
      </w:pPr>
      <w:rPr>
        <w:rFonts w:ascii="Symbol" w:hAnsi="Symbol" w:hint="default"/>
        <w:color w:val="F1584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9"/>
  </w:num>
  <w:num w:numId="4">
    <w:abstractNumId w:val="38"/>
  </w:num>
  <w:num w:numId="5">
    <w:abstractNumId w:val="42"/>
  </w:num>
  <w:num w:numId="6">
    <w:abstractNumId w:val="30"/>
  </w:num>
  <w:num w:numId="7">
    <w:abstractNumId w:val="46"/>
  </w:num>
  <w:num w:numId="8">
    <w:abstractNumId w:val="60"/>
  </w:num>
  <w:num w:numId="9">
    <w:abstractNumId w:val="59"/>
  </w:num>
  <w:num w:numId="10">
    <w:abstractNumId w:val="61"/>
  </w:num>
  <w:num w:numId="11">
    <w:abstractNumId w:val="28"/>
  </w:num>
  <w:num w:numId="12">
    <w:abstractNumId w:val="31"/>
  </w:num>
  <w:num w:numId="13">
    <w:abstractNumId w:val="50"/>
  </w:num>
  <w:num w:numId="14">
    <w:abstractNumId w:val="7"/>
  </w:num>
  <w:num w:numId="15">
    <w:abstractNumId w:val="40"/>
  </w:num>
  <w:num w:numId="16">
    <w:abstractNumId w:val="43"/>
  </w:num>
  <w:num w:numId="17">
    <w:abstractNumId w:val="20"/>
  </w:num>
  <w:num w:numId="18">
    <w:abstractNumId w:val="52"/>
  </w:num>
  <w:num w:numId="19">
    <w:abstractNumId w:val="39"/>
  </w:num>
  <w:num w:numId="20">
    <w:abstractNumId w:val="44"/>
  </w:num>
  <w:num w:numId="21">
    <w:abstractNumId w:val="13"/>
  </w:num>
  <w:num w:numId="22">
    <w:abstractNumId w:val="1"/>
  </w:num>
  <w:num w:numId="23">
    <w:abstractNumId w:val="26"/>
  </w:num>
  <w:num w:numId="24">
    <w:abstractNumId w:val="57"/>
  </w:num>
  <w:num w:numId="25">
    <w:abstractNumId w:val="36"/>
  </w:num>
  <w:num w:numId="26">
    <w:abstractNumId w:val="2"/>
  </w:num>
  <w:num w:numId="27">
    <w:abstractNumId w:val="4"/>
  </w:num>
  <w:num w:numId="28">
    <w:abstractNumId w:val="25"/>
  </w:num>
  <w:num w:numId="29">
    <w:abstractNumId w:val="15"/>
  </w:num>
  <w:num w:numId="30">
    <w:abstractNumId w:val="34"/>
  </w:num>
  <w:num w:numId="31">
    <w:abstractNumId w:val="18"/>
  </w:num>
  <w:num w:numId="32">
    <w:abstractNumId w:val="21"/>
  </w:num>
  <w:num w:numId="33">
    <w:abstractNumId w:val="14"/>
  </w:num>
  <w:num w:numId="34">
    <w:abstractNumId w:val="56"/>
  </w:num>
  <w:num w:numId="35">
    <w:abstractNumId w:val="53"/>
  </w:num>
  <w:num w:numId="36">
    <w:abstractNumId w:val="49"/>
  </w:num>
  <w:num w:numId="37">
    <w:abstractNumId w:val="6"/>
  </w:num>
  <w:num w:numId="38">
    <w:abstractNumId w:val="12"/>
  </w:num>
  <w:num w:numId="39">
    <w:abstractNumId w:val="35"/>
  </w:num>
  <w:num w:numId="40">
    <w:abstractNumId w:val="51"/>
  </w:num>
  <w:num w:numId="41">
    <w:abstractNumId w:val="19"/>
  </w:num>
  <w:num w:numId="42">
    <w:abstractNumId w:val="37"/>
  </w:num>
  <w:num w:numId="43">
    <w:abstractNumId w:val="24"/>
  </w:num>
  <w:num w:numId="44">
    <w:abstractNumId w:val="16"/>
  </w:num>
  <w:num w:numId="45">
    <w:abstractNumId w:val="8"/>
  </w:num>
  <w:num w:numId="46">
    <w:abstractNumId w:val="5"/>
  </w:num>
  <w:num w:numId="47">
    <w:abstractNumId w:val="33"/>
  </w:num>
  <w:num w:numId="48">
    <w:abstractNumId w:val="55"/>
  </w:num>
  <w:num w:numId="49">
    <w:abstractNumId w:val="47"/>
  </w:num>
  <w:num w:numId="50">
    <w:abstractNumId w:val="32"/>
  </w:num>
  <w:num w:numId="51">
    <w:abstractNumId w:val="58"/>
  </w:num>
  <w:num w:numId="52">
    <w:abstractNumId w:val="23"/>
  </w:num>
  <w:num w:numId="53">
    <w:abstractNumId w:val="41"/>
  </w:num>
  <w:num w:numId="54">
    <w:abstractNumId w:val="3"/>
  </w:num>
  <w:num w:numId="55">
    <w:abstractNumId w:val="45"/>
  </w:num>
  <w:num w:numId="56">
    <w:abstractNumId w:val="22"/>
  </w:num>
  <w:num w:numId="57">
    <w:abstractNumId w:val="9"/>
  </w:num>
  <w:num w:numId="58">
    <w:abstractNumId w:val="11"/>
  </w:num>
  <w:num w:numId="59">
    <w:abstractNumId w:val="54"/>
  </w:num>
  <w:num w:numId="60">
    <w:abstractNumId w:val="27"/>
  </w:num>
  <w:num w:numId="61">
    <w:abstractNumId w:val="48"/>
  </w:num>
  <w:num w:numId="62">
    <w:abstractNumId w:val="1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hideSpellingErrors/>
  <w:defaultTabStop w:val="720"/>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FD"/>
    <w:rsid w:val="00003401"/>
    <w:rsid w:val="000045C3"/>
    <w:rsid w:val="00011549"/>
    <w:rsid w:val="0001268B"/>
    <w:rsid w:val="000200C0"/>
    <w:rsid w:val="00022AAD"/>
    <w:rsid w:val="0002392D"/>
    <w:rsid w:val="00025997"/>
    <w:rsid w:val="00025B94"/>
    <w:rsid w:val="00026904"/>
    <w:rsid w:val="00026AD4"/>
    <w:rsid w:val="000367CE"/>
    <w:rsid w:val="00040F20"/>
    <w:rsid w:val="00045C2D"/>
    <w:rsid w:val="00050AA8"/>
    <w:rsid w:val="000553B7"/>
    <w:rsid w:val="000555AC"/>
    <w:rsid w:val="000627F9"/>
    <w:rsid w:val="0007312B"/>
    <w:rsid w:val="00074ED4"/>
    <w:rsid w:val="00075185"/>
    <w:rsid w:val="000916B7"/>
    <w:rsid w:val="000942FE"/>
    <w:rsid w:val="00094FF1"/>
    <w:rsid w:val="000A18FC"/>
    <w:rsid w:val="000A1F16"/>
    <w:rsid w:val="000C28C8"/>
    <w:rsid w:val="000C5010"/>
    <w:rsid w:val="000D13CC"/>
    <w:rsid w:val="000D22CF"/>
    <w:rsid w:val="000D3995"/>
    <w:rsid w:val="000F2894"/>
    <w:rsid w:val="000F41EE"/>
    <w:rsid w:val="000F44B9"/>
    <w:rsid w:val="001158A9"/>
    <w:rsid w:val="001171B4"/>
    <w:rsid w:val="0011779E"/>
    <w:rsid w:val="00124406"/>
    <w:rsid w:val="0012713D"/>
    <w:rsid w:val="00130403"/>
    <w:rsid w:val="0013070D"/>
    <w:rsid w:val="00130D0E"/>
    <w:rsid w:val="00130EAF"/>
    <w:rsid w:val="00134270"/>
    <w:rsid w:val="001372CA"/>
    <w:rsid w:val="00140280"/>
    <w:rsid w:val="00144E85"/>
    <w:rsid w:val="00146BD9"/>
    <w:rsid w:val="00147893"/>
    <w:rsid w:val="00147B31"/>
    <w:rsid w:val="001514FD"/>
    <w:rsid w:val="0015181A"/>
    <w:rsid w:val="0015479D"/>
    <w:rsid w:val="001570B2"/>
    <w:rsid w:val="00157616"/>
    <w:rsid w:val="0016026F"/>
    <w:rsid w:val="00161E3C"/>
    <w:rsid w:val="001647C8"/>
    <w:rsid w:val="001670BD"/>
    <w:rsid w:val="00195060"/>
    <w:rsid w:val="00197835"/>
    <w:rsid w:val="001A1ECF"/>
    <w:rsid w:val="001A396F"/>
    <w:rsid w:val="001C1411"/>
    <w:rsid w:val="001C1E01"/>
    <w:rsid w:val="001C35FD"/>
    <w:rsid w:val="001C4809"/>
    <w:rsid w:val="001C487C"/>
    <w:rsid w:val="001C6331"/>
    <w:rsid w:val="001C7BAC"/>
    <w:rsid w:val="001D0F72"/>
    <w:rsid w:val="001D34C6"/>
    <w:rsid w:val="001D501C"/>
    <w:rsid w:val="001E0635"/>
    <w:rsid w:val="001E089A"/>
    <w:rsid w:val="001E4B17"/>
    <w:rsid w:val="001E7980"/>
    <w:rsid w:val="001F10D9"/>
    <w:rsid w:val="001F60C5"/>
    <w:rsid w:val="0020048D"/>
    <w:rsid w:val="00200A76"/>
    <w:rsid w:val="002049CE"/>
    <w:rsid w:val="00205575"/>
    <w:rsid w:val="0021096D"/>
    <w:rsid w:val="00211F5D"/>
    <w:rsid w:val="00220011"/>
    <w:rsid w:val="00220017"/>
    <w:rsid w:val="00220203"/>
    <w:rsid w:val="00221CC8"/>
    <w:rsid w:val="002313B6"/>
    <w:rsid w:val="00234341"/>
    <w:rsid w:val="00235DBB"/>
    <w:rsid w:val="002436CB"/>
    <w:rsid w:val="00245A00"/>
    <w:rsid w:val="00253BC9"/>
    <w:rsid w:val="002644B7"/>
    <w:rsid w:val="00272EA8"/>
    <w:rsid w:val="00285B27"/>
    <w:rsid w:val="002919C0"/>
    <w:rsid w:val="00292E3B"/>
    <w:rsid w:val="00293868"/>
    <w:rsid w:val="0029760E"/>
    <w:rsid w:val="002A1E76"/>
    <w:rsid w:val="002A2130"/>
    <w:rsid w:val="002A3F38"/>
    <w:rsid w:val="002A697F"/>
    <w:rsid w:val="002B1197"/>
    <w:rsid w:val="002C209D"/>
    <w:rsid w:val="002C2245"/>
    <w:rsid w:val="002C55BD"/>
    <w:rsid w:val="002C5AE4"/>
    <w:rsid w:val="002C79C5"/>
    <w:rsid w:val="002D267D"/>
    <w:rsid w:val="002D3D69"/>
    <w:rsid w:val="002D4BA7"/>
    <w:rsid w:val="002D7D43"/>
    <w:rsid w:val="002E2654"/>
    <w:rsid w:val="002E2F9A"/>
    <w:rsid w:val="002E6359"/>
    <w:rsid w:val="002F01B9"/>
    <w:rsid w:val="002F15C9"/>
    <w:rsid w:val="002F712A"/>
    <w:rsid w:val="003067D9"/>
    <w:rsid w:val="00312A35"/>
    <w:rsid w:val="003174AE"/>
    <w:rsid w:val="00320F85"/>
    <w:rsid w:val="0032149D"/>
    <w:rsid w:val="003243FC"/>
    <w:rsid w:val="00332A37"/>
    <w:rsid w:val="00340AC1"/>
    <w:rsid w:val="003440C5"/>
    <w:rsid w:val="00344A5B"/>
    <w:rsid w:val="00345146"/>
    <w:rsid w:val="0035016C"/>
    <w:rsid w:val="003511AD"/>
    <w:rsid w:val="00352542"/>
    <w:rsid w:val="0036730F"/>
    <w:rsid w:val="00372EDD"/>
    <w:rsid w:val="00372F5C"/>
    <w:rsid w:val="0037386B"/>
    <w:rsid w:val="00380435"/>
    <w:rsid w:val="003810BE"/>
    <w:rsid w:val="00381F00"/>
    <w:rsid w:val="00385B9D"/>
    <w:rsid w:val="003935B4"/>
    <w:rsid w:val="00396A4F"/>
    <w:rsid w:val="003A01B5"/>
    <w:rsid w:val="003A11A9"/>
    <w:rsid w:val="003A1590"/>
    <w:rsid w:val="003A3DB7"/>
    <w:rsid w:val="003B1FD5"/>
    <w:rsid w:val="003B330F"/>
    <w:rsid w:val="003C0621"/>
    <w:rsid w:val="003C0F4B"/>
    <w:rsid w:val="003C212A"/>
    <w:rsid w:val="003C2C21"/>
    <w:rsid w:val="003C6313"/>
    <w:rsid w:val="003C72E2"/>
    <w:rsid w:val="003C7E60"/>
    <w:rsid w:val="003D4556"/>
    <w:rsid w:val="003D6434"/>
    <w:rsid w:val="003E2985"/>
    <w:rsid w:val="003F122C"/>
    <w:rsid w:val="00400B6A"/>
    <w:rsid w:val="00404C8D"/>
    <w:rsid w:val="004054F6"/>
    <w:rsid w:val="004101FA"/>
    <w:rsid w:val="00414960"/>
    <w:rsid w:val="004166E5"/>
    <w:rsid w:val="00440B17"/>
    <w:rsid w:val="0044442D"/>
    <w:rsid w:val="004451EC"/>
    <w:rsid w:val="00447924"/>
    <w:rsid w:val="0045374C"/>
    <w:rsid w:val="004626B4"/>
    <w:rsid w:val="00463954"/>
    <w:rsid w:val="00474563"/>
    <w:rsid w:val="004814A1"/>
    <w:rsid w:val="00482F5A"/>
    <w:rsid w:val="00484181"/>
    <w:rsid w:val="004873C3"/>
    <w:rsid w:val="00493071"/>
    <w:rsid w:val="004958CC"/>
    <w:rsid w:val="00495CE6"/>
    <w:rsid w:val="004A6B4E"/>
    <w:rsid w:val="004C7C90"/>
    <w:rsid w:val="004D1C30"/>
    <w:rsid w:val="004D3AC7"/>
    <w:rsid w:val="004D4F6C"/>
    <w:rsid w:val="004D66CB"/>
    <w:rsid w:val="004E1D42"/>
    <w:rsid w:val="004E4043"/>
    <w:rsid w:val="004E6823"/>
    <w:rsid w:val="004F07A0"/>
    <w:rsid w:val="004F28D6"/>
    <w:rsid w:val="004F4DF3"/>
    <w:rsid w:val="00504A2A"/>
    <w:rsid w:val="005102F0"/>
    <w:rsid w:val="005122A9"/>
    <w:rsid w:val="0051549A"/>
    <w:rsid w:val="005207EF"/>
    <w:rsid w:val="005232A7"/>
    <w:rsid w:val="00526092"/>
    <w:rsid w:val="005305BA"/>
    <w:rsid w:val="005318B3"/>
    <w:rsid w:val="00533DB4"/>
    <w:rsid w:val="00535EA6"/>
    <w:rsid w:val="00540890"/>
    <w:rsid w:val="0054430B"/>
    <w:rsid w:val="005472E0"/>
    <w:rsid w:val="005565A7"/>
    <w:rsid w:val="00560A0F"/>
    <w:rsid w:val="00565239"/>
    <w:rsid w:val="00571C63"/>
    <w:rsid w:val="0057276C"/>
    <w:rsid w:val="00572FC3"/>
    <w:rsid w:val="00580936"/>
    <w:rsid w:val="00580CC8"/>
    <w:rsid w:val="00580EFF"/>
    <w:rsid w:val="00587791"/>
    <w:rsid w:val="00590333"/>
    <w:rsid w:val="00593C53"/>
    <w:rsid w:val="00593F44"/>
    <w:rsid w:val="0059461B"/>
    <w:rsid w:val="00594FBC"/>
    <w:rsid w:val="005968B5"/>
    <w:rsid w:val="0059745A"/>
    <w:rsid w:val="0059747D"/>
    <w:rsid w:val="005A0645"/>
    <w:rsid w:val="005A57FA"/>
    <w:rsid w:val="005A69B2"/>
    <w:rsid w:val="005A7671"/>
    <w:rsid w:val="005B304C"/>
    <w:rsid w:val="005B7004"/>
    <w:rsid w:val="005C10F8"/>
    <w:rsid w:val="005C1E2A"/>
    <w:rsid w:val="005C569C"/>
    <w:rsid w:val="005C6004"/>
    <w:rsid w:val="005D16CF"/>
    <w:rsid w:val="005E107F"/>
    <w:rsid w:val="005E1B46"/>
    <w:rsid w:val="005E49BC"/>
    <w:rsid w:val="005F01D6"/>
    <w:rsid w:val="005F0E8F"/>
    <w:rsid w:val="005F1936"/>
    <w:rsid w:val="006019AE"/>
    <w:rsid w:val="00607D96"/>
    <w:rsid w:val="0061254D"/>
    <w:rsid w:val="0061742C"/>
    <w:rsid w:val="0062300C"/>
    <w:rsid w:val="006232F9"/>
    <w:rsid w:val="00634A47"/>
    <w:rsid w:val="00635479"/>
    <w:rsid w:val="0064288A"/>
    <w:rsid w:val="006446A8"/>
    <w:rsid w:val="00644EEB"/>
    <w:rsid w:val="00644F68"/>
    <w:rsid w:val="006506EE"/>
    <w:rsid w:val="00651D3D"/>
    <w:rsid w:val="00655F12"/>
    <w:rsid w:val="00656E0E"/>
    <w:rsid w:val="0065706A"/>
    <w:rsid w:val="006678D5"/>
    <w:rsid w:val="00682546"/>
    <w:rsid w:val="0068332A"/>
    <w:rsid w:val="00684E9F"/>
    <w:rsid w:val="00685E66"/>
    <w:rsid w:val="0069093B"/>
    <w:rsid w:val="0069148D"/>
    <w:rsid w:val="006A1056"/>
    <w:rsid w:val="006A1A96"/>
    <w:rsid w:val="006A6CEA"/>
    <w:rsid w:val="006B032E"/>
    <w:rsid w:val="006B7361"/>
    <w:rsid w:val="006D06FB"/>
    <w:rsid w:val="006D20E2"/>
    <w:rsid w:val="006D2BBD"/>
    <w:rsid w:val="006D6DE6"/>
    <w:rsid w:val="006E24B7"/>
    <w:rsid w:val="006E267B"/>
    <w:rsid w:val="006E380B"/>
    <w:rsid w:val="006E3DFD"/>
    <w:rsid w:val="006E4BD7"/>
    <w:rsid w:val="006F3912"/>
    <w:rsid w:val="007007E7"/>
    <w:rsid w:val="00701585"/>
    <w:rsid w:val="007111F0"/>
    <w:rsid w:val="007206A0"/>
    <w:rsid w:val="00720A70"/>
    <w:rsid w:val="00726035"/>
    <w:rsid w:val="0072615B"/>
    <w:rsid w:val="007269BB"/>
    <w:rsid w:val="00726F53"/>
    <w:rsid w:val="00735B0D"/>
    <w:rsid w:val="00737D56"/>
    <w:rsid w:val="00742529"/>
    <w:rsid w:val="0074270C"/>
    <w:rsid w:val="00743D8B"/>
    <w:rsid w:val="00747003"/>
    <w:rsid w:val="007515AB"/>
    <w:rsid w:val="007516AD"/>
    <w:rsid w:val="007816F8"/>
    <w:rsid w:val="00781BDA"/>
    <w:rsid w:val="00785853"/>
    <w:rsid w:val="00787C96"/>
    <w:rsid w:val="007A50ED"/>
    <w:rsid w:val="007A52EF"/>
    <w:rsid w:val="007B4F08"/>
    <w:rsid w:val="007B63CD"/>
    <w:rsid w:val="007B6EBD"/>
    <w:rsid w:val="007C09F0"/>
    <w:rsid w:val="007C4898"/>
    <w:rsid w:val="007C6A03"/>
    <w:rsid w:val="007D3EEA"/>
    <w:rsid w:val="007D49AF"/>
    <w:rsid w:val="007D5147"/>
    <w:rsid w:val="007D6214"/>
    <w:rsid w:val="007D6563"/>
    <w:rsid w:val="007E1993"/>
    <w:rsid w:val="007E2047"/>
    <w:rsid w:val="007E3120"/>
    <w:rsid w:val="007E3194"/>
    <w:rsid w:val="007E3EB2"/>
    <w:rsid w:val="007F0ECF"/>
    <w:rsid w:val="007F2AE7"/>
    <w:rsid w:val="007F4E0E"/>
    <w:rsid w:val="007F69A8"/>
    <w:rsid w:val="00800019"/>
    <w:rsid w:val="00803218"/>
    <w:rsid w:val="0081240B"/>
    <w:rsid w:val="00822E2C"/>
    <w:rsid w:val="00822F35"/>
    <w:rsid w:val="00825FA6"/>
    <w:rsid w:val="008306F0"/>
    <w:rsid w:val="00832BDF"/>
    <w:rsid w:val="00836158"/>
    <w:rsid w:val="00836487"/>
    <w:rsid w:val="00845D65"/>
    <w:rsid w:val="008467BC"/>
    <w:rsid w:val="00851981"/>
    <w:rsid w:val="00851F20"/>
    <w:rsid w:val="00855F32"/>
    <w:rsid w:val="008565D1"/>
    <w:rsid w:val="00857B05"/>
    <w:rsid w:val="00860A4A"/>
    <w:rsid w:val="00867DBF"/>
    <w:rsid w:val="008728BE"/>
    <w:rsid w:val="008730EC"/>
    <w:rsid w:val="00873E84"/>
    <w:rsid w:val="00887CD1"/>
    <w:rsid w:val="00890846"/>
    <w:rsid w:val="008934E2"/>
    <w:rsid w:val="00894C6C"/>
    <w:rsid w:val="008A07B3"/>
    <w:rsid w:val="008A0BB6"/>
    <w:rsid w:val="008A3D57"/>
    <w:rsid w:val="008A6C87"/>
    <w:rsid w:val="008B2730"/>
    <w:rsid w:val="008C2D74"/>
    <w:rsid w:val="008D0838"/>
    <w:rsid w:val="008D0E53"/>
    <w:rsid w:val="008D1633"/>
    <w:rsid w:val="008E1272"/>
    <w:rsid w:val="008E23B3"/>
    <w:rsid w:val="008E5AE6"/>
    <w:rsid w:val="008E6919"/>
    <w:rsid w:val="008F04C4"/>
    <w:rsid w:val="009030DB"/>
    <w:rsid w:val="00906B05"/>
    <w:rsid w:val="009077E4"/>
    <w:rsid w:val="0091480D"/>
    <w:rsid w:val="00917FDF"/>
    <w:rsid w:val="009231BD"/>
    <w:rsid w:val="00926656"/>
    <w:rsid w:val="00927A90"/>
    <w:rsid w:val="00932F02"/>
    <w:rsid w:val="00933591"/>
    <w:rsid w:val="00936A7D"/>
    <w:rsid w:val="0094325B"/>
    <w:rsid w:val="009502C1"/>
    <w:rsid w:val="00953634"/>
    <w:rsid w:val="00953B2E"/>
    <w:rsid w:val="00963CC4"/>
    <w:rsid w:val="00972E75"/>
    <w:rsid w:val="009752FB"/>
    <w:rsid w:val="0097628E"/>
    <w:rsid w:val="00992391"/>
    <w:rsid w:val="00994A5E"/>
    <w:rsid w:val="009950AA"/>
    <w:rsid w:val="00995733"/>
    <w:rsid w:val="009A7638"/>
    <w:rsid w:val="009B178A"/>
    <w:rsid w:val="009B1F2F"/>
    <w:rsid w:val="009C5597"/>
    <w:rsid w:val="009C5BB7"/>
    <w:rsid w:val="009C7AA4"/>
    <w:rsid w:val="009D64E0"/>
    <w:rsid w:val="009E2EF8"/>
    <w:rsid w:val="009E5FEC"/>
    <w:rsid w:val="009F30C7"/>
    <w:rsid w:val="00A00D43"/>
    <w:rsid w:val="00A04501"/>
    <w:rsid w:val="00A13B5C"/>
    <w:rsid w:val="00A14FDA"/>
    <w:rsid w:val="00A154CF"/>
    <w:rsid w:val="00A154D5"/>
    <w:rsid w:val="00A20E83"/>
    <w:rsid w:val="00A22A6F"/>
    <w:rsid w:val="00A247F4"/>
    <w:rsid w:val="00A25F68"/>
    <w:rsid w:val="00A263F7"/>
    <w:rsid w:val="00A30DD6"/>
    <w:rsid w:val="00A41DEA"/>
    <w:rsid w:val="00A41F29"/>
    <w:rsid w:val="00A427CB"/>
    <w:rsid w:val="00A4793F"/>
    <w:rsid w:val="00A674E8"/>
    <w:rsid w:val="00A7015C"/>
    <w:rsid w:val="00A71C1E"/>
    <w:rsid w:val="00A743EB"/>
    <w:rsid w:val="00A76081"/>
    <w:rsid w:val="00A8680C"/>
    <w:rsid w:val="00A9199E"/>
    <w:rsid w:val="00A93C84"/>
    <w:rsid w:val="00A95586"/>
    <w:rsid w:val="00AA147E"/>
    <w:rsid w:val="00AA4A5C"/>
    <w:rsid w:val="00AA5D51"/>
    <w:rsid w:val="00AB197A"/>
    <w:rsid w:val="00AB42AD"/>
    <w:rsid w:val="00AB4ADB"/>
    <w:rsid w:val="00AB57DA"/>
    <w:rsid w:val="00AC0D8D"/>
    <w:rsid w:val="00AC4451"/>
    <w:rsid w:val="00AC7135"/>
    <w:rsid w:val="00AD1DF6"/>
    <w:rsid w:val="00AD6A87"/>
    <w:rsid w:val="00AE2C2F"/>
    <w:rsid w:val="00AE304D"/>
    <w:rsid w:val="00AE35A2"/>
    <w:rsid w:val="00AE3971"/>
    <w:rsid w:val="00AE4917"/>
    <w:rsid w:val="00AE56FA"/>
    <w:rsid w:val="00AE7BCE"/>
    <w:rsid w:val="00AF4FA1"/>
    <w:rsid w:val="00AF5024"/>
    <w:rsid w:val="00AF7E01"/>
    <w:rsid w:val="00B00DCD"/>
    <w:rsid w:val="00B01E64"/>
    <w:rsid w:val="00B02A54"/>
    <w:rsid w:val="00B04924"/>
    <w:rsid w:val="00B07275"/>
    <w:rsid w:val="00B11A32"/>
    <w:rsid w:val="00B168FC"/>
    <w:rsid w:val="00B174D9"/>
    <w:rsid w:val="00B3126E"/>
    <w:rsid w:val="00B3516D"/>
    <w:rsid w:val="00B37378"/>
    <w:rsid w:val="00B4179E"/>
    <w:rsid w:val="00B46010"/>
    <w:rsid w:val="00B74C11"/>
    <w:rsid w:val="00B76722"/>
    <w:rsid w:val="00B77198"/>
    <w:rsid w:val="00B77C13"/>
    <w:rsid w:val="00B80319"/>
    <w:rsid w:val="00B805D6"/>
    <w:rsid w:val="00B83EF0"/>
    <w:rsid w:val="00B95C2B"/>
    <w:rsid w:val="00B9749A"/>
    <w:rsid w:val="00B978E3"/>
    <w:rsid w:val="00BA1D22"/>
    <w:rsid w:val="00BB7D7E"/>
    <w:rsid w:val="00BC17C2"/>
    <w:rsid w:val="00BD1115"/>
    <w:rsid w:val="00BD40E1"/>
    <w:rsid w:val="00BE3086"/>
    <w:rsid w:val="00BE353B"/>
    <w:rsid w:val="00BE3DF2"/>
    <w:rsid w:val="00BE4F73"/>
    <w:rsid w:val="00BE6497"/>
    <w:rsid w:val="00BF3BAC"/>
    <w:rsid w:val="00BF5F9F"/>
    <w:rsid w:val="00C10824"/>
    <w:rsid w:val="00C14C57"/>
    <w:rsid w:val="00C21B70"/>
    <w:rsid w:val="00C265A5"/>
    <w:rsid w:val="00C3157B"/>
    <w:rsid w:val="00C32955"/>
    <w:rsid w:val="00C32E37"/>
    <w:rsid w:val="00C42621"/>
    <w:rsid w:val="00C44ABF"/>
    <w:rsid w:val="00C44CFF"/>
    <w:rsid w:val="00C50ABE"/>
    <w:rsid w:val="00C5412F"/>
    <w:rsid w:val="00C5778A"/>
    <w:rsid w:val="00C63C93"/>
    <w:rsid w:val="00C64ABF"/>
    <w:rsid w:val="00C662C2"/>
    <w:rsid w:val="00C74BE5"/>
    <w:rsid w:val="00C91EAC"/>
    <w:rsid w:val="00C93C80"/>
    <w:rsid w:val="00C95898"/>
    <w:rsid w:val="00CA3A21"/>
    <w:rsid w:val="00CA4FF0"/>
    <w:rsid w:val="00CA6991"/>
    <w:rsid w:val="00CB2E58"/>
    <w:rsid w:val="00CC058D"/>
    <w:rsid w:val="00CC2B7F"/>
    <w:rsid w:val="00CC7592"/>
    <w:rsid w:val="00CD1FFC"/>
    <w:rsid w:val="00CD77D2"/>
    <w:rsid w:val="00CE1565"/>
    <w:rsid w:val="00CE6C7C"/>
    <w:rsid w:val="00CE6E7E"/>
    <w:rsid w:val="00CF0D62"/>
    <w:rsid w:val="00CF3DA6"/>
    <w:rsid w:val="00D02C87"/>
    <w:rsid w:val="00D0468A"/>
    <w:rsid w:val="00D07CDC"/>
    <w:rsid w:val="00D22B75"/>
    <w:rsid w:val="00D22F40"/>
    <w:rsid w:val="00D230C1"/>
    <w:rsid w:val="00D31D3E"/>
    <w:rsid w:val="00D3330B"/>
    <w:rsid w:val="00D37FB3"/>
    <w:rsid w:val="00D4796E"/>
    <w:rsid w:val="00D47F0B"/>
    <w:rsid w:val="00D5496B"/>
    <w:rsid w:val="00D5670A"/>
    <w:rsid w:val="00D70050"/>
    <w:rsid w:val="00D7359C"/>
    <w:rsid w:val="00D74B18"/>
    <w:rsid w:val="00D75521"/>
    <w:rsid w:val="00D80528"/>
    <w:rsid w:val="00D954E5"/>
    <w:rsid w:val="00D96D42"/>
    <w:rsid w:val="00DA0E69"/>
    <w:rsid w:val="00DA2119"/>
    <w:rsid w:val="00DA2623"/>
    <w:rsid w:val="00DA2BAD"/>
    <w:rsid w:val="00DC24D8"/>
    <w:rsid w:val="00DC3246"/>
    <w:rsid w:val="00DD1F9A"/>
    <w:rsid w:val="00DD3615"/>
    <w:rsid w:val="00DD4F2A"/>
    <w:rsid w:val="00DE1048"/>
    <w:rsid w:val="00DE1461"/>
    <w:rsid w:val="00DE5465"/>
    <w:rsid w:val="00DE58E8"/>
    <w:rsid w:val="00DE5AD2"/>
    <w:rsid w:val="00DF23AA"/>
    <w:rsid w:val="00DF67E5"/>
    <w:rsid w:val="00DF7137"/>
    <w:rsid w:val="00E028A9"/>
    <w:rsid w:val="00E03106"/>
    <w:rsid w:val="00E05220"/>
    <w:rsid w:val="00E07AFE"/>
    <w:rsid w:val="00E112D1"/>
    <w:rsid w:val="00E2077A"/>
    <w:rsid w:val="00E25D48"/>
    <w:rsid w:val="00E315C2"/>
    <w:rsid w:val="00E3279E"/>
    <w:rsid w:val="00E3422C"/>
    <w:rsid w:val="00E35D77"/>
    <w:rsid w:val="00E40E15"/>
    <w:rsid w:val="00E44AE0"/>
    <w:rsid w:val="00E54627"/>
    <w:rsid w:val="00E574C5"/>
    <w:rsid w:val="00E60FF5"/>
    <w:rsid w:val="00E617A5"/>
    <w:rsid w:val="00E62238"/>
    <w:rsid w:val="00E749D7"/>
    <w:rsid w:val="00E80037"/>
    <w:rsid w:val="00E819A7"/>
    <w:rsid w:val="00E83AE1"/>
    <w:rsid w:val="00E83DFE"/>
    <w:rsid w:val="00E931E8"/>
    <w:rsid w:val="00EA1527"/>
    <w:rsid w:val="00EA4674"/>
    <w:rsid w:val="00EA4E00"/>
    <w:rsid w:val="00EA5E4B"/>
    <w:rsid w:val="00EB1F0A"/>
    <w:rsid w:val="00EB28C6"/>
    <w:rsid w:val="00EB2F9D"/>
    <w:rsid w:val="00EB6CE6"/>
    <w:rsid w:val="00ED0FE5"/>
    <w:rsid w:val="00ED3A50"/>
    <w:rsid w:val="00EE532E"/>
    <w:rsid w:val="00EE778B"/>
    <w:rsid w:val="00EF22BF"/>
    <w:rsid w:val="00EF671A"/>
    <w:rsid w:val="00EF7A90"/>
    <w:rsid w:val="00F049CA"/>
    <w:rsid w:val="00F1128B"/>
    <w:rsid w:val="00F12917"/>
    <w:rsid w:val="00F14257"/>
    <w:rsid w:val="00F14936"/>
    <w:rsid w:val="00F22E33"/>
    <w:rsid w:val="00F246AE"/>
    <w:rsid w:val="00F31B20"/>
    <w:rsid w:val="00F33127"/>
    <w:rsid w:val="00F570D5"/>
    <w:rsid w:val="00F7365C"/>
    <w:rsid w:val="00F764D4"/>
    <w:rsid w:val="00F80059"/>
    <w:rsid w:val="00F84B7E"/>
    <w:rsid w:val="00F9368F"/>
    <w:rsid w:val="00F97127"/>
    <w:rsid w:val="00FA1635"/>
    <w:rsid w:val="00FB4E1F"/>
    <w:rsid w:val="00FC1106"/>
    <w:rsid w:val="00FC4F7C"/>
    <w:rsid w:val="00FC6F90"/>
    <w:rsid w:val="00FC7F5D"/>
    <w:rsid w:val="00FD3EFE"/>
    <w:rsid w:val="00FE044A"/>
    <w:rsid w:val="00FE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7445A1DD"/>
  <w14:defaultImageDpi w14:val="32767"/>
  <w15:chartTrackingRefBased/>
  <w15:docId w15:val="{245EE9C5-26FD-F54E-BCAA-CEBC95C5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E53"/>
    <w:rPr>
      <w:rFonts w:ascii="Times New Roman" w:eastAsia="Times New Roman" w:hAnsi="Times New Roman" w:cs="Times New Roman"/>
    </w:rPr>
  </w:style>
  <w:style w:type="paragraph" w:styleId="Heading1">
    <w:name w:val="heading 1"/>
    <w:basedOn w:val="SectionHeadersMIAX"/>
    <w:link w:val="Heading1Char"/>
    <w:uiPriority w:val="9"/>
    <w:qFormat/>
    <w:rsid w:val="00963CC4"/>
    <w:pPr>
      <w:outlineLvl w:val="0"/>
    </w:pPr>
  </w:style>
  <w:style w:type="paragraph" w:styleId="Heading2">
    <w:name w:val="heading 2"/>
    <w:basedOn w:val="SUBHEADMIAX"/>
    <w:next w:val="Normal"/>
    <w:link w:val="Heading2Char"/>
    <w:uiPriority w:val="9"/>
    <w:unhideWhenUsed/>
    <w:qFormat/>
    <w:rsid w:val="00963CC4"/>
    <w:pPr>
      <w:outlineLvl w:val="1"/>
    </w:pPr>
    <w:rPr>
      <w:rFonts w:eastAsiaTheme="minorHAnsi"/>
    </w:rPr>
  </w:style>
  <w:style w:type="paragraph" w:styleId="Heading3">
    <w:name w:val="heading 3"/>
    <w:basedOn w:val="Normal"/>
    <w:next w:val="Normal"/>
    <w:link w:val="Heading3Char"/>
    <w:uiPriority w:val="9"/>
    <w:semiHidden/>
    <w:unhideWhenUsed/>
    <w:qFormat/>
    <w:rsid w:val="00963CC4"/>
    <w:pPr>
      <w:keepNext/>
      <w:keepLines/>
      <w:spacing w:before="40"/>
      <w:outlineLvl w:val="2"/>
    </w:pPr>
    <w:rPr>
      <w:rFonts w:asciiTheme="majorHAnsi" w:eastAsiaTheme="majorEastAsia" w:hAnsiTheme="majorHAnsi" w:cstheme="majorBidi"/>
      <w:color w:val="FD0000" w:themeColor="accent1" w:themeShade="7F"/>
    </w:rPr>
  </w:style>
  <w:style w:type="paragraph" w:styleId="Heading4">
    <w:name w:val="heading 4"/>
    <w:basedOn w:val="Normal"/>
    <w:next w:val="Normal"/>
    <w:link w:val="Heading4Char"/>
    <w:uiPriority w:val="9"/>
    <w:semiHidden/>
    <w:unhideWhenUsed/>
    <w:qFormat/>
    <w:rsid w:val="00963CC4"/>
    <w:pPr>
      <w:keepNext/>
      <w:keepLines/>
      <w:spacing w:before="40"/>
      <w:outlineLvl w:val="3"/>
    </w:pPr>
    <w:rPr>
      <w:rFonts w:asciiTheme="majorHAnsi" w:eastAsiaTheme="majorEastAsia" w:hAnsiTheme="majorHAnsi" w:cstheme="majorBidi"/>
      <w:i/>
      <w:iCs/>
      <w:color w:val="FF7E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FootnoteMIAX">
    <w:name w:val="Chart Footnote_MIAX"/>
    <w:basedOn w:val="Normal"/>
    <w:qFormat/>
    <w:rsid w:val="00594FBC"/>
    <w:rPr>
      <w:rFonts w:ascii="Helvetica Oblique" w:hAnsi="Helvetica Oblique"/>
      <w:i/>
      <w:iCs/>
      <w:color w:val="808080" w:themeColor="background1" w:themeShade="80"/>
      <w:sz w:val="16"/>
      <w:szCs w:val="16"/>
    </w:rPr>
  </w:style>
  <w:style w:type="paragraph" w:styleId="Header">
    <w:name w:val="header"/>
    <w:basedOn w:val="Normal"/>
    <w:link w:val="HeaderChar"/>
    <w:uiPriority w:val="99"/>
    <w:unhideWhenUsed/>
    <w:rsid w:val="00580EFF"/>
    <w:pPr>
      <w:tabs>
        <w:tab w:val="center" w:pos="4680"/>
        <w:tab w:val="right" w:pos="9360"/>
      </w:tabs>
    </w:pPr>
  </w:style>
  <w:style w:type="character" w:customStyle="1" w:styleId="HeaderChar">
    <w:name w:val="Header Char"/>
    <w:basedOn w:val="DefaultParagraphFont"/>
    <w:link w:val="Header"/>
    <w:uiPriority w:val="99"/>
    <w:rsid w:val="00580EFF"/>
  </w:style>
  <w:style w:type="paragraph" w:styleId="Footer">
    <w:name w:val="footer"/>
    <w:basedOn w:val="Normal"/>
    <w:link w:val="FooterChar"/>
    <w:uiPriority w:val="99"/>
    <w:unhideWhenUsed/>
    <w:rsid w:val="00580EFF"/>
    <w:pPr>
      <w:tabs>
        <w:tab w:val="center" w:pos="4680"/>
        <w:tab w:val="right" w:pos="9360"/>
      </w:tabs>
    </w:pPr>
  </w:style>
  <w:style w:type="paragraph" w:styleId="NoSpacing">
    <w:name w:val="No Spacing"/>
    <w:link w:val="NoSpacingChar"/>
    <w:uiPriority w:val="1"/>
    <w:qFormat/>
    <w:rsid w:val="00293868"/>
    <w:rPr>
      <w:rFonts w:eastAsiaTheme="minorEastAsia"/>
      <w:sz w:val="22"/>
      <w:szCs w:val="22"/>
      <w:lang w:eastAsia="zh-CN"/>
    </w:rPr>
  </w:style>
  <w:style w:type="character" w:customStyle="1" w:styleId="NoSpacingChar">
    <w:name w:val="No Spacing Char"/>
    <w:basedOn w:val="DefaultParagraphFont"/>
    <w:link w:val="NoSpacing"/>
    <w:uiPriority w:val="1"/>
    <w:rsid w:val="00293868"/>
    <w:rPr>
      <w:rFonts w:eastAsiaTheme="minorEastAsia"/>
      <w:sz w:val="22"/>
      <w:szCs w:val="22"/>
      <w:lang w:eastAsia="zh-CN"/>
    </w:rPr>
  </w:style>
  <w:style w:type="paragraph" w:customStyle="1" w:styleId="NoParagraphStyle">
    <w:name w:val="[No Paragraph Style]"/>
    <w:rsid w:val="00BE6497"/>
    <w:pPr>
      <w:autoSpaceDE w:val="0"/>
      <w:autoSpaceDN w:val="0"/>
      <w:adjustRightInd w:val="0"/>
      <w:spacing w:line="288" w:lineRule="auto"/>
      <w:textAlignment w:val="center"/>
    </w:pPr>
    <w:rPr>
      <w:rFonts w:ascii="Minion Pro" w:hAnsi="Minion Pro" w:cs="Minion Pro"/>
      <w:color w:val="000000"/>
    </w:rPr>
  </w:style>
  <w:style w:type="character" w:styleId="PageNumber">
    <w:name w:val="page number"/>
    <w:basedOn w:val="DefaultParagraphFont"/>
    <w:uiPriority w:val="99"/>
    <w:semiHidden/>
    <w:unhideWhenUsed/>
    <w:rsid w:val="00D22F40"/>
  </w:style>
  <w:style w:type="paragraph" w:customStyle="1" w:styleId="Subhead1">
    <w:name w:val="Subhead 1"/>
    <w:basedOn w:val="Heading2"/>
    <w:qFormat/>
    <w:rsid w:val="00AC0D8D"/>
    <w:pPr>
      <w:spacing w:before="60" w:after="60"/>
    </w:pPr>
    <w:rPr>
      <w:rFonts w:eastAsia="Times New Roman" w:cstheme="minorHAnsi"/>
      <w:b w:val="0"/>
      <w:bCs w:val="0"/>
      <w:iCs/>
      <w:color w:val="009ACE"/>
      <w:sz w:val="28"/>
      <w:szCs w:val="28"/>
    </w:rPr>
  </w:style>
  <w:style w:type="character" w:customStyle="1" w:styleId="Heading2Char">
    <w:name w:val="Heading 2 Char"/>
    <w:basedOn w:val="DefaultParagraphFont"/>
    <w:link w:val="Heading2"/>
    <w:uiPriority w:val="9"/>
    <w:rsid w:val="00963CC4"/>
    <w:rPr>
      <w:rFonts w:ascii="Helvetica" w:hAnsi="Helvetica" w:cs="Times New Roman"/>
      <w:b/>
      <w:bCs/>
      <w:color w:val="414041" w:themeColor="text1"/>
      <w:sz w:val="22"/>
      <w:szCs w:val="22"/>
    </w:rPr>
  </w:style>
  <w:style w:type="character" w:customStyle="1" w:styleId="FooterChar">
    <w:name w:val="Footer Char"/>
    <w:basedOn w:val="DefaultParagraphFont"/>
    <w:link w:val="Footer"/>
    <w:uiPriority w:val="99"/>
    <w:rsid w:val="00580EFF"/>
  </w:style>
  <w:style w:type="paragraph" w:customStyle="1" w:styleId="PageNumberMIAX">
    <w:name w:val="Page Number_MIAX"/>
    <w:basedOn w:val="Normal"/>
    <w:qFormat/>
    <w:rsid w:val="00580EFF"/>
    <w:rPr>
      <w:rFonts w:ascii="Helvetica" w:hAnsi="Helvetica"/>
      <w:b/>
      <w:bCs/>
      <w:color w:val="F15822" w:themeColor="background2"/>
      <w:sz w:val="18"/>
      <w:szCs w:val="18"/>
    </w:rPr>
  </w:style>
  <w:style w:type="paragraph" w:customStyle="1" w:styleId="BODYMIAX">
    <w:name w:val="BODY_MIAX"/>
    <w:basedOn w:val="Normal"/>
    <w:qFormat/>
    <w:rsid w:val="007F0ECF"/>
    <w:pPr>
      <w:spacing w:line="360" w:lineRule="auto"/>
      <w:ind w:left="-540"/>
    </w:pPr>
    <w:rPr>
      <w:rFonts w:ascii="Helvetica" w:hAnsi="Helvetica"/>
      <w:color w:val="414042"/>
      <w:sz w:val="20"/>
      <w:szCs w:val="18"/>
    </w:rPr>
  </w:style>
  <w:style w:type="paragraph" w:customStyle="1" w:styleId="SUBHEADMIAX">
    <w:name w:val="SUBHEAD_MIAX"/>
    <w:basedOn w:val="BODYMIAX"/>
    <w:qFormat/>
    <w:rsid w:val="00963CC4"/>
    <w:pPr>
      <w:spacing w:before="240"/>
      <w:ind w:left="0"/>
    </w:pPr>
    <w:rPr>
      <w:b/>
      <w:bCs/>
      <w:color w:val="414041" w:themeColor="text1"/>
      <w:sz w:val="22"/>
      <w:szCs w:val="22"/>
    </w:rPr>
  </w:style>
  <w:style w:type="paragraph" w:customStyle="1" w:styleId="maintext">
    <w:name w:val="main text"/>
    <w:basedOn w:val="NoParagraphStyle"/>
    <w:uiPriority w:val="99"/>
    <w:rsid w:val="00AC0D8D"/>
    <w:pPr>
      <w:spacing w:after="170" w:line="280" w:lineRule="atLeast"/>
    </w:pPr>
    <w:rPr>
      <w:rFonts w:ascii="Roboto" w:hAnsi="Roboto" w:cs="Roboto"/>
      <w:sz w:val="20"/>
      <w:szCs w:val="20"/>
    </w:rPr>
  </w:style>
  <w:style w:type="paragraph" w:customStyle="1" w:styleId="SectionBreakerMIAX">
    <w:name w:val="Section Breaker_MIAX"/>
    <w:basedOn w:val="Normal"/>
    <w:qFormat/>
    <w:rsid w:val="001171B4"/>
    <w:pPr>
      <w:jc w:val="center"/>
    </w:pPr>
    <w:rPr>
      <w:rFonts w:ascii="Helvetica" w:hAnsi="Helvetica" w:cs="Times New Roman (Body CS)"/>
      <w:b/>
      <w:bCs/>
      <w:color w:val="FFFFFF" w:themeColor="background1"/>
      <w:spacing w:val="26"/>
      <w:sz w:val="32"/>
      <w:szCs w:val="34"/>
    </w:rPr>
  </w:style>
  <w:style w:type="paragraph" w:styleId="ListParagraph">
    <w:name w:val="List Paragraph"/>
    <w:basedOn w:val="Normal"/>
    <w:uiPriority w:val="1"/>
    <w:qFormat/>
    <w:rsid w:val="005D16CF"/>
    <w:pPr>
      <w:ind w:left="720"/>
      <w:contextualSpacing/>
    </w:pPr>
    <w:rPr>
      <w:rFonts w:eastAsiaTheme="minorEastAsia"/>
    </w:rPr>
  </w:style>
  <w:style w:type="character" w:customStyle="1" w:styleId="Heading1Char">
    <w:name w:val="Heading 1 Char"/>
    <w:basedOn w:val="DefaultParagraphFont"/>
    <w:link w:val="Heading1"/>
    <w:uiPriority w:val="9"/>
    <w:rsid w:val="00963CC4"/>
    <w:rPr>
      <w:rFonts w:ascii="Helvetica" w:eastAsia="Times New Roman" w:hAnsi="Helvetica" w:cs="Times New Roman"/>
      <w:b/>
      <w:bCs/>
      <w:color w:val="F15822" w:themeColor="background2"/>
      <w:sz w:val="56"/>
      <w:szCs w:val="56"/>
    </w:rPr>
  </w:style>
  <w:style w:type="paragraph" w:styleId="ListBullet">
    <w:name w:val="List Bullet"/>
    <w:basedOn w:val="Normal"/>
    <w:uiPriority w:val="13"/>
    <w:qFormat/>
    <w:rsid w:val="007A52EF"/>
    <w:pPr>
      <w:numPr>
        <w:numId w:val="1"/>
      </w:numPr>
      <w:spacing w:after="200" w:line="276" w:lineRule="auto"/>
      <w:contextualSpacing/>
    </w:pPr>
    <w:rPr>
      <w:sz w:val="20"/>
    </w:rPr>
  </w:style>
  <w:style w:type="character" w:styleId="Emphasis">
    <w:name w:val="Emphasis"/>
    <w:basedOn w:val="DefaultParagraphFont"/>
    <w:uiPriority w:val="15"/>
    <w:qFormat/>
    <w:rsid w:val="007A52EF"/>
    <w:rPr>
      <w:rFonts w:asciiTheme="minorHAnsi" w:hAnsiTheme="minorHAnsi"/>
      <w:b/>
      <w:i w:val="0"/>
      <w:iCs/>
      <w:sz w:val="20"/>
    </w:rPr>
  </w:style>
  <w:style w:type="paragraph" w:customStyle="1" w:styleId="FooterMIAX">
    <w:name w:val="Footer_MIAX"/>
    <w:basedOn w:val="NoParagraphStyle"/>
    <w:qFormat/>
    <w:rsid w:val="00580EFF"/>
    <w:pPr>
      <w:spacing w:before="227"/>
      <w:ind w:left="-900"/>
    </w:pPr>
    <w:rPr>
      <w:rFonts w:ascii="Helvetica" w:hAnsi="Helvetica" w:cs="Helvetica"/>
      <w:noProof/>
      <w:color w:val="808080" w:themeColor="background1" w:themeShade="80"/>
      <w:sz w:val="14"/>
      <w:szCs w:val="14"/>
    </w:rPr>
  </w:style>
  <w:style w:type="table" w:styleId="GridTable2-Accent1">
    <w:name w:val="Grid Table 2 Accent 1"/>
    <w:basedOn w:val="TableNormal"/>
    <w:uiPriority w:val="47"/>
    <w:rsid w:val="007A52EF"/>
    <w:pPr>
      <w:ind w:left="173"/>
    </w:pPr>
    <w:rPr>
      <w:rFonts w:eastAsia="Times New Roman" w:cs="Times New Roman"/>
    </w:rPr>
    <w:tblPr>
      <w:tblStyleRowBandSize w:val="1"/>
      <w:tblStyleColBandSize w:val="1"/>
      <w:tblBorders>
        <w:top w:val="single" w:sz="2" w:space="0" w:color="FFFEFE" w:themeColor="accent1" w:themeTint="99"/>
        <w:bottom w:val="single" w:sz="2" w:space="0" w:color="FFFEFE" w:themeColor="accent1" w:themeTint="99"/>
        <w:insideH w:val="single" w:sz="2" w:space="0" w:color="FFFEFE" w:themeColor="accent1" w:themeTint="99"/>
        <w:insideV w:val="single" w:sz="2" w:space="0" w:color="FFFEFE" w:themeColor="accent1" w:themeTint="99"/>
      </w:tblBorders>
    </w:tblPr>
    <w:tblStylePr w:type="firstRow">
      <w:rPr>
        <w:b/>
        <w:bCs/>
      </w:rPr>
      <w:tblPr/>
      <w:tcPr>
        <w:tcBorders>
          <w:top w:val="nil"/>
          <w:bottom w:val="single" w:sz="12" w:space="0" w:color="FFFEFE" w:themeColor="accent1" w:themeTint="99"/>
          <w:insideH w:val="nil"/>
          <w:insideV w:val="nil"/>
        </w:tcBorders>
        <w:shd w:val="clear" w:color="auto" w:fill="FFFFFF" w:themeFill="background1"/>
      </w:tcPr>
    </w:tblStylePr>
    <w:tblStylePr w:type="lastRow">
      <w:rPr>
        <w:b/>
        <w:bCs/>
      </w:rPr>
      <w:tblPr/>
      <w:tcPr>
        <w:tcBorders>
          <w:top w:val="double" w:sz="2" w:space="0" w:color="FFFEF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EFE" w:themeFill="accent1" w:themeFillTint="33"/>
      </w:tcPr>
    </w:tblStylePr>
    <w:tblStylePr w:type="band1Horz">
      <w:tblPr/>
      <w:tcPr>
        <w:shd w:val="clear" w:color="auto" w:fill="FFFEFE" w:themeFill="accent1" w:themeFillTint="33"/>
      </w:tcPr>
    </w:tblStylePr>
  </w:style>
  <w:style w:type="paragraph" w:customStyle="1" w:styleId="Attribution">
    <w:name w:val="Attribution"/>
    <w:basedOn w:val="Normal"/>
    <w:qFormat/>
    <w:rsid w:val="007A52EF"/>
    <w:pPr>
      <w:jc w:val="center"/>
    </w:pPr>
    <w:rPr>
      <w:rFonts w:ascii="Helvetica" w:hAnsi="Helvetica" w:cs="Helvetica"/>
      <w:b/>
      <w:bCs/>
      <w:color w:val="FFFFFF" w:themeColor="background1"/>
    </w:rPr>
  </w:style>
  <w:style w:type="paragraph" w:customStyle="1" w:styleId="SectionHeadersMIAX">
    <w:name w:val="Section Headers_MIAX"/>
    <w:basedOn w:val="SUBHEADMIAX"/>
    <w:qFormat/>
    <w:rsid w:val="00963CC4"/>
    <w:rPr>
      <w:color w:val="F15822" w:themeColor="background2"/>
      <w:sz w:val="56"/>
      <w:szCs w:val="56"/>
    </w:rPr>
  </w:style>
  <w:style w:type="paragraph" w:customStyle="1" w:styleId="BoldWhiteBodyMIAX">
    <w:name w:val="Bold White Body_MIAX"/>
    <w:basedOn w:val="Normal"/>
    <w:qFormat/>
    <w:rsid w:val="00635479"/>
    <w:rPr>
      <w:rFonts w:ascii="Helvetica" w:hAnsi="Helvetica" w:cs="Helvetica"/>
      <w:b/>
      <w:bCs/>
      <w:color w:val="FFFFFF" w:themeColor="background1"/>
    </w:rPr>
  </w:style>
  <w:style w:type="paragraph" w:customStyle="1" w:styleId="BoldOrangeCenteredMIAX">
    <w:name w:val="Bold Orange Centered_MIAX"/>
    <w:basedOn w:val="Subhead1"/>
    <w:qFormat/>
    <w:rsid w:val="00594FBC"/>
    <w:pPr>
      <w:jc w:val="center"/>
    </w:pPr>
    <w:rPr>
      <w:iCs w:val="0"/>
      <w:color w:val="F15822" w:themeColor="background2"/>
      <w:sz w:val="26"/>
      <w:szCs w:val="24"/>
    </w:rPr>
  </w:style>
  <w:style w:type="table" w:styleId="PlainTable1">
    <w:name w:val="Plain Table 1"/>
    <w:basedOn w:val="TableNormal"/>
    <w:uiPriority w:val="41"/>
    <w:rsid w:val="007C09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yperlinkMIAX">
    <w:name w:val="hyperlink_MIAX"/>
    <w:qFormat/>
    <w:rsid w:val="001158A9"/>
    <w:pPr>
      <w:ind w:left="-90"/>
    </w:pPr>
    <w:rPr>
      <w:rFonts w:ascii="Helvetica" w:hAnsi="Helvetica"/>
      <w:color w:val="F15822" w:themeColor="background2"/>
      <w:sz w:val="18"/>
      <w:szCs w:val="18"/>
      <w:u w:val="single"/>
    </w:rPr>
  </w:style>
  <w:style w:type="character" w:styleId="Hyperlink">
    <w:name w:val="Hyperlink"/>
    <w:basedOn w:val="DefaultParagraphFont"/>
    <w:uiPriority w:val="99"/>
    <w:unhideWhenUsed/>
    <w:rsid w:val="00720A70"/>
    <w:rPr>
      <w:rFonts w:ascii="Helvetica" w:hAnsi="Helvetica"/>
      <w:b w:val="0"/>
      <w:i w:val="0"/>
      <w:color w:val="F15841"/>
      <w:sz w:val="18"/>
      <w:u w:val="single"/>
    </w:rPr>
  </w:style>
  <w:style w:type="character" w:customStyle="1" w:styleId="UnresolvedMention">
    <w:name w:val="Unresolved Mention"/>
    <w:basedOn w:val="DefaultParagraphFont"/>
    <w:uiPriority w:val="99"/>
    <w:rsid w:val="00FD3EFE"/>
    <w:rPr>
      <w:color w:val="605E5C"/>
      <w:shd w:val="clear" w:color="auto" w:fill="E1DFDD"/>
    </w:rPr>
  </w:style>
  <w:style w:type="paragraph" w:customStyle="1" w:styleId="BoldOrangeMIAX">
    <w:name w:val="Bold Orange_MIAX"/>
    <w:basedOn w:val="BoldOrangeCenteredMIAX"/>
    <w:qFormat/>
    <w:rsid w:val="0059745A"/>
    <w:rPr>
      <w:color w:val="F15822"/>
      <w:sz w:val="28"/>
    </w:rPr>
  </w:style>
  <w:style w:type="table" w:styleId="TableGrid">
    <w:name w:val="Table Grid"/>
    <w:basedOn w:val="TableNormal"/>
    <w:uiPriority w:val="39"/>
    <w:rsid w:val="008A3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A3D5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A3D5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9EA0"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9EA0"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9EA0"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9EA0"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3">
    <w:name w:val="Grid Table 2 Accent 3"/>
    <w:basedOn w:val="TableNormal"/>
    <w:uiPriority w:val="47"/>
    <w:rsid w:val="008A3D57"/>
    <w:tblPr>
      <w:tblStyleRowBandSize w:val="1"/>
      <w:tblStyleColBandSize w:val="1"/>
      <w:tblBorders>
        <w:top w:val="single" w:sz="2" w:space="0" w:color="FFFEFE" w:themeColor="accent3" w:themeTint="99"/>
        <w:bottom w:val="single" w:sz="2" w:space="0" w:color="FFFEFE" w:themeColor="accent3" w:themeTint="99"/>
        <w:insideH w:val="single" w:sz="2" w:space="0" w:color="FFFEFE" w:themeColor="accent3" w:themeTint="99"/>
        <w:insideV w:val="single" w:sz="2" w:space="0" w:color="FFFEFE" w:themeColor="accent3" w:themeTint="99"/>
      </w:tblBorders>
    </w:tblPr>
    <w:tblStylePr w:type="firstRow">
      <w:rPr>
        <w:b/>
        <w:bCs/>
      </w:rPr>
      <w:tblPr/>
      <w:tcPr>
        <w:tcBorders>
          <w:top w:val="nil"/>
          <w:bottom w:val="single" w:sz="12" w:space="0" w:color="FFFEFE" w:themeColor="accent3" w:themeTint="99"/>
          <w:insideH w:val="nil"/>
          <w:insideV w:val="nil"/>
        </w:tcBorders>
        <w:shd w:val="clear" w:color="auto" w:fill="FFFFFF" w:themeFill="background1"/>
      </w:tcPr>
    </w:tblStylePr>
    <w:tblStylePr w:type="lastRow">
      <w:rPr>
        <w:b/>
        <w:bCs/>
      </w:rPr>
      <w:tblPr/>
      <w:tcPr>
        <w:tcBorders>
          <w:top w:val="double" w:sz="2" w:space="0" w:color="FFFEF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EFE" w:themeFill="accent3" w:themeFillTint="33"/>
      </w:tcPr>
    </w:tblStylePr>
    <w:tblStylePr w:type="band1Horz">
      <w:tblPr/>
      <w:tcPr>
        <w:shd w:val="clear" w:color="auto" w:fill="FFFEFE" w:themeFill="accent3" w:themeFillTint="33"/>
      </w:tcPr>
    </w:tblStylePr>
  </w:style>
  <w:style w:type="table" w:styleId="GridTable2-Accent4">
    <w:name w:val="Grid Table 2 Accent 4"/>
    <w:basedOn w:val="TableNormal"/>
    <w:uiPriority w:val="47"/>
    <w:rsid w:val="00656E0E"/>
    <w:tblPr>
      <w:tblStyleRowBandSize w:val="1"/>
      <w:tblStyleColBandSize w:val="1"/>
      <w:tblBorders>
        <w:top w:val="single" w:sz="2" w:space="0" w:color="FFFEFE" w:themeColor="accent4" w:themeTint="99"/>
        <w:bottom w:val="single" w:sz="2" w:space="0" w:color="FFFEFE" w:themeColor="accent4" w:themeTint="99"/>
        <w:insideH w:val="single" w:sz="2" w:space="0" w:color="FFFEFE" w:themeColor="accent4" w:themeTint="99"/>
        <w:insideV w:val="single" w:sz="2" w:space="0" w:color="FFFEFE" w:themeColor="accent4" w:themeTint="99"/>
      </w:tblBorders>
    </w:tblPr>
    <w:tblStylePr w:type="firstRow">
      <w:rPr>
        <w:b/>
        <w:bCs/>
      </w:rPr>
      <w:tblPr/>
      <w:tcPr>
        <w:tcBorders>
          <w:top w:val="nil"/>
          <w:bottom w:val="single" w:sz="12" w:space="0" w:color="FFFEFE" w:themeColor="accent4" w:themeTint="99"/>
          <w:insideH w:val="nil"/>
          <w:insideV w:val="nil"/>
        </w:tcBorders>
        <w:shd w:val="clear" w:color="auto" w:fill="FFFFFF" w:themeFill="background1"/>
      </w:tcPr>
    </w:tblStylePr>
    <w:tblStylePr w:type="lastRow">
      <w:rPr>
        <w:b/>
        <w:bCs/>
      </w:rPr>
      <w:tblPr/>
      <w:tcPr>
        <w:tcBorders>
          <w:top w:val="double" w:sz="2" w:space="0" w:color="FFFEF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EFE" w:themeFill="accent4" w:themeFillTint="33"/>
      </w:tcPr>
    </w:tblStylePr>
    <w:tblStylePr w:type="band1Horz">
      <w:tblPr/>
      <w:tcPr>
        <w:shd w:val="clear" w:color="auto" w:fill="FFFEFE" w:themeFill="accent4" w:themeFillTint="33"/>
      </w:tcPr>
    </w:tblStylePr>
  </w:style>
  <w:style w:type="paragraph" w:customStyle="1" w:styleId="BulletMIAX">
    <w:name w:val="Bullet_MIAX"/>
    <w:basedOn w:val="BODYMIAX"/>
    <w:qFormat/>
    <w:rsid w:val="00FC1106"/>
    <w:pPr>
      <w:numPr>
        <w:numId w:val="2"/>
      </w:numPr>
    </w:pPr>
  </w:style>
  <w:style w:type="paragraph" w:customStyle="1" w:styleId="LargeOrangeCopyMIAX">
    <w:name w:val="Large Orange Copy_MIAX"/>
    <w:basedOn w:val="Normal"/>
    <w:qFormat/>
    <w:rsid w:val="00C265A5"/>
    <w:pPr>
      <w:jc w:val="center"/>
    </w:pPr>
    <w:rPr>
      <w:rFonts w:ascii="Helvetica" w:hAnsi="Helvetica" w:cs="Helvetica"/>
      <w:color w:val="F15822"/>
      <w:sz w:val="76"/>
      <w:szCs w:val="76"/>
    </w:rPr>
  </w:style>
  <w:style w:type="paragraph" w:customStyle="1" w:styleId="LargeBoldLeftAlignMIAX">
    <w:name w:val="Large Bold Left Align_MIAX"/>
    <w:basedOn w:val="Normal"/>
    <w:qFormat/>
    <w:rsid w:val="00B978E3"/>
    <w:rPr>
      <w:rFonts w:ascii="Helvetica" w:hAnsi="Helvetica" w:cs="Helvetica"/>
      <w:b/>
      <w:bCs/>
      <w:color w:val="FFFFFF" w:themeColor="background1"/>
      <w:sz w:val="56"/>
      <w:szCs w:val="56"/>
    </w:rPr>
  </w:style>
  <w:style w:type="paragraph" w:styleId="TOCHeading">
    <w:name w:val="TOC Heading"/>
    <w:basedOn w:val="Heading1"/>
    <w:next w:val="Normal"/>
    <w:uiPriority w:val="39"/>
    <w:unhideWhenUsed/>
    <w:qFormat/>
    <w:rsid w:val="00130403"/>
    <w:pPr>
      <w:keepLines/>
      <w:spacing w:before="480"/>
      <w:outlineLvl w:val="9"/>
    </w:pPr>
    <w:rPr>
      <w:rFonts w:eastAsiaTheme="majorEastAsia" w:cstheme="majorBidi"/>
      <w:color w:val="FF7E7E" w:themeColor="accent1" w:themeShade="BF"/>
      <w:sz w:val="28"/>
      <w:szCs w:val="28"/>
    </w:rPr>
  </w:style>
  <w:style w:type="paragraph" w:styleId="TOC2">
    <w:name w:val="toc 2"/>
    <w:basedOn w:val="Normal"/>
    <w:next w:val="Normal"/>
    <w:autoRedefine/>
    <w:uiPriority w:val="39"/>
    <w:unhideWhenUsed/>
    <w:rsid w:val="00130403"/>
    <w:pPr>
      <w:spacing w:before="120"/>
      <w:ind w:left="240"/>
    </w:pPr>
    <w:rPr>
      <w:rFonts w:asciiTheme="minorHAnsi" w:hAnsiTheme="minorHAnsi"/>
      <w:b/>
      <w:bCs/>
      <w:sz w:val="22"/>
      <w:szCs w:val="22"/>
    </w:rPr>
  </w:style>
  <w:style w:type="paragraph" w:styleId="TOC1">
    <w:name w:val="toc 1"/>
    <w:basedOn w:val="Normal"/>
    <w:next w:val="Normal"/>
    <w:autoRedefine/>
    <w:uiPriority w:val="39"/>
    <w:unhideWhenUsed/>
    <w:rsid w:val="00332A37"/>
    <w:pPr>
      <w:tabs>
        <w:tab w:val="right" w:leader="dot" w:pos="10416"/>
      </w:tabs>
      <w:spacing w:before="120"/>
    </w:pPr>
    <w:rPr>
      <w:rFonts w:asciiTheme="minorHAnsi" w:hAnsiTheme="minorHAnsi" w:cs="Times New Roman (Body CS)"/>
      <w:b/>
      <w:bCs/>
      <w:noProof/>
      <w:sz w:val="20"/>
      <w:szCs w:val="20"/>
    </w:rPr>
  </w:style>
  <w:style w:type="paragraph" w:styleId="TOC3">
    <w:name w:val="toc 3"/>
    <w:basedOn w:val="Normal"/>
    <w:next w:val="Normal"/>
    <w:autoRedefine/>
    <w:uiPriority w:val="39"/>
    <w:semiHidden/>
    <w:unhideWhenUsed/>
    <w:rsid w:val="00130403"/>
    <w:pPr>
      <w:ind w:left="480"/>
    </w:pPr>
    <w:rPr>
      <w:rFonts w:asciiTheme="minorHAnsi" w:hAnsiTheme="minorHAnsi"/>
      <w:sz w:val="20"/>
      <w:szCs w:val="20"/>
    </w:rPr>
  </w:style>
  <w:style w:type="paragraph" w:styleId="TOC4">
    <w:name w:val="toc 4"/>
    <w:basedOn w:val="Normal"/>
    <w:next w:val="Normal"/>
    <w:autoRedefine/>
    <w:uiPriority w:val="39"/>
    <w:semiHidden/>
    <w:unhideWhenUsed/>
    <w:rsid w:val="0013040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13040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13040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13040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13040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130403"/>
    <w:pPr>
      <w:ind w:left="1920"/>
    </w:pPr>
    <w:rPr>
      <w:rFonts w:asciiTheme="minorHAnsi" w:hAnsiTheme="minorHAnsi"/>
      <w:sz w:val="20"/>
      <w:szCs w:val="20"/>
    </w:rPr>
  </w:style>
  <w:style w:type="paragraph" w:customStyle="1" w:styleId="Default">
    <w:name w:val="Default"/>
    <w:rsid w:val="001372CA"/>
    <w:pPr>
      <w:autoSpaceDE w:val="0"/>
      <w:autoSpaceDN w:val="0"/>
      <w:adjustRightInd w:val="0"/>
    </w:pPr>
    <w:rPr>
      <w:rFonts w:ascii="Calibri" w:hAnsi="Calibri" w:cs="Calibri"/>
      <w:color w:val="000000"/>
    </w:rPr>
  </w:style>
  <w:style w:type="paragraph" w:customStyle="1" w:styleId="TableParagraph">
    <w:name w:val="Table Paragraph"/>
    <w:basedOn w:val="Normal"/>
    <w:uiPriority w:val="1"/>
    <w:qFormat/>
    <w:rsid w:val="00A674E8"/>
    <w:pPr>
      <w:widowControl w:val="0"/>
      <w:autoSpaceDE w:val="0"/>
      <w:autoSpaceDN w:val="0"/>
      <w:spacing w:before="33"/>
      <w:jc w:val="center"/>
    </w:pPr>
    <w:rPr>
      <w:rFonts w:ascii="Arial" w:eastAsia="Arial" w:hAnsi="Arial" w:cs="Arial"/>
      <w:sz w:val="22"/>
      <w:szCs w:val="22"/>
    </w:rPr>
  </w:style>
  <w:style w:type="character" w:customStyle="1" w:styleId="Heading3Char">
    <w:name w:val="Heading 3 Char"/>
    <w:basedOn w:val="DefaultParagraphFont"/>
    <w:link w:val="Heading3"/>
    <w:uiPriority w:val="9"/>
    <w:semiHidden/>
    <w:rsid w:val="00963CC4"/>
    <w:rPr>
      <w:rFonts w:asciiTheme="majorHAnsi" w:eastAsiaTheme="majorEastAsia" w:hAnsiTheme="majorHAnsi" w:cstheme="majorBidi"/>
      <w:color w:val="FD0000" w:themeColor="accent1" w:themeShade="7F"/>
    </w:rPr>
  </w:style>
  <w:style w:type="character" w:customStyle="1" w:styleId="Heading4Char">
    <w:name w:val="Heading 4 Char"/>
    <w:basedOn w:val="DefaultParagraphFont"/>
    <w:link w:val="Heading4"/>
    <w:uiPriority w:val="9"/>
    <w:semiHidden/>
    <w:rsid w:val="00963CC4"/>
    <w:rPr>
      <w:rFonts w:asciiTheme="majorHAnsi" w:eastAsiaTheme="majorEastAsia" w:hAnsiTheme="majorHAnsi" w:cstheme="majorBidi"/>
      <w:i/>
      <w:iCs/>
      <w:color w:val="FF7E7E" w:themeColor="accent1" w:themeShade="BF"/>
    </w:rPr>
  </w:style>
  <w:style w:type="character" w:styleId="FollowedHyperlink">
    <w:name w:val="FollowedHyperlink"/>
    <w:basedOn w:val="DefaultParagraphFont"/>
    <w:uiPriority w:val="99"/>
    <w:semiHidden/>
    <w:unhideWhenUsed/>
    <w:rsid w:val="00161E3C"/>
    <w:rPr>
      <w:color w:val="F15822" w:themeColor="followedHyperlink"/>
      <w:u w:val="single"/>
    </w:rPr>
  </w:style>
  <w:style w:type="paragraph" w:styleId="BalloonText">
    <w:name w:val="Balloon Text"/>
    <w:basedOn w:val="Normal"/>
    <w:link w:val="BalloonTextChar"/>
    <w:uiPriority w:val="99"/>
    <w:semiHidden/>
    <w:unhideWhenUsed/>
    <w:rsid w:val="00050AA8"/>
    <w:rPr>
      <w:sz w:val="18"/>
      <w:szCs w:val="18"/>
    </w:rPr>
  </w:style>
  <w:style w:type="character" w:customStyle="1" w:styleId="BalloonTextChar">
    <w:name w:val="Balloon Text Char"/>
    <w:basedOn w:val="DefaultParagraphFont"/>
    <w:link w:val="BalloonText"/>
    <w:uiPriority w:val="99"/>
    <w:semiHidden/>
    <w:rsid w:val="00050AA8"/>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050AA8"/>
    <w:rPr>
      <w:sz w:val="16"/>
      <w:szCs w:val="16"/>
    </w:rPr>
  </w:style>
  <w:style w:type="paragraph" w:styleId="CommentText">
    <w:name w:val="annotation text"/>
    <w:basedOn w:val="Normal"/>
    <w:link w:val="CommentTextChar"/>
    <w:uiPriority w:val="99"/>
    <w:semiHidden/>
    <w:unhideWhenUsed/>
    <w:rsid w:val="00050AA8"/>
    <w:rPr>
      <w:sz w:val="20"/>
      <w:szCs w:val="20"/>
    </w:rPr>
  </w:style>
  <w:style w:type="character" w:customStyle="1" w:styleId="CommentTextChar">
    <w:name w:val="Comment Text Char"/>
    <w:basedOn w:val="DefaultParagraphFont"/>
    <w:link w:val="CommentText"/>
    <w:uiPriority w:val="99"/>
    <w:semiHidden/>
    <w:rsid w:val="00050A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0AA8"/>
    <w:rPr>
      <w:b/>
      <w:bCs/>
    </w:rPr>
  </w:style>
  <w:style w:type="character" w:customStyle="1" w:styleId="CommentSubjectChar">
    <w:name w:val="Comment Subject Char"/>
    <w:basedOn w:val="CommentTextChar"/>
    <w:link w:val="CommentSubject"/>
    <w:uiPriority w:val="99"/>
    <w:semiHidden/>
    <w:rsid w:val="00050AA8"/>
    <w:rPr>
      <w:rFonts w:ascii="Times New Roman" w:eastAsia="Times New Roman" w:hAnsi="Times New Roman" w:cs="Times New Roman"/>
      <w:b/>
      <w:bCs/>
      <w:sz w:val="20"/>
      <w:szCs w:val="20"/>
    </w:rPr>
  </w:style>
  <w:style w:type="paragraph" w:styleId="Revision">
    <w:name w:val="Revision"/>
    <w:hidden/>
    <w:uiPriority w:val="99"/>
    <w:semiHidden/>
    <w:rsid w:val="00157616"/>
    <w:rPr>
      <w:rFonts w:ascii="Times New Roman" w:eastAsia="Times New Roman" w:hAnsi="Times New Roman" w:cs="Times New Roman"/>
    </w:rPr>
  </w:style>
  <w:style w:type="paragraph" w:styleId="BodyText">
    <w:name w:val="Body Text"/>
    <w:basedOn w:val="Normal"/>
    <w:link w:val="BodyTextChar"/>
    <w:uiPriority w:val="1"/>
    <w:qFormat/>
    <w:rsid w:val="009D64E0"/>
    <w:pPr>
      <w:widowControl w:val="0"/>
      <w:autoSpaceDE w:val="0"/>
      <w:autoSpaceDN w:val="0"/>
    </w:pPr>
    <w:rPr>
      <w:rFonts w:ascii="Calibri" w:eastAsia="Tahoma" w:hAnsi="Calibri" w:cs="Tahoma"/>
      <w:sz w:val="18"/>
      <w:szCs w:val="18"/>
      <w:lang w:bidi="en-US"/>
    </w:rPr>
  </w:style>
  <w:style w:type="character" w:customStyle="1" w:styleId="BodyTextChar">
    <w:name w:val="Body Text Char"/>
    <w:basedOn w:val="DefaultParagraphFont"/>
    <w:link w:val="BodyText"/>
    <w:uiPriority w:val="1"/>
    <w:rsid w:val="009D64E0"/>
    <w:rPr>
      <w:rFonts w:ascii="Calibri" w:eastAsia="Tahoma" w:hAnsi="Calibri" w:cs="Tahoma"/>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7542">
      <w:bodyDiv w:val="1"/>
      <w:marLeft w:val="0"/>
      <w:marRight w:val="0"/>
      <w:marTop w:val="0"/>
      <w:marBottom w:val="0"/>
      <w:divBdr>
        <w:top w:val="none" w:sz="0" w:space="0" w:color="auto"/>
        <w:left w:val="none" w:sz="0" w:space="0" w:color="auto"/>
        <w:bottom w:val="none" w:sz="0" w:space="0" w:color="auto"/>
        <w:right w:val="none" w:sz="0" w:space="0" w:color="auto"/>
      </w:divBdr>
    </w:div>
    <w:div w:id="82455884">
      <w:bodyDiv w:val="1"/>
      <w:marLeft w:val="0"/>
      <w:marRight w:val="0"/>
      <w:marTop w:val="0"/>
      <w:marBottom w:val="0"/>
      <w:divBdr>
        <w:top w:val="none" w:sz="0" w:space="0" w:color="auto"/>
        <w:left w:val="none" w:sz="0" w:space="0" w:color="auto"/>
        <w:bottom w:val="none" w:sz="0" w:space="0" w:color="auto"/>
        <w:right w:val="none" w:sz="0" w:space="0" w:color="auto"/>
      </w:divBdr>
    </w:div>
    <w:div w:id="128016127">
      <w:bodyDiv w:val="1"/>
      <w:marLeft w:val="0"/>
      <w:marRight w:val="0"/>
      <w:marTop w:val="0"/>
      <w:marBottom w:val="0"/>
      <w:divBdr>
        <w:top w:val="none" w:sz="0" w:space="0" w:color="auto"/>
        <w:left w:val="none" w:sz="0" w:space="0" w:color="auto"/>
        <w:bottom w:val="none" w:sz="0" w:space="0" w:color="auto"/>
        <w:right w:val="none" w:sz="0" w:space="0" w:color="auto"/>
      </w:divBdr>
    </w:div>
    <w:div w:id="217907914">
      <w:bodyDiv w:val="1"/>
      <w:marLeft w:val="0"/>
      <w:marRight w:val="0"/>
      <w:marTop w:val="0"/>
      <w:marBottom w:val="0"/>
      <w:divBdr>
        <w:top w:val="none" w:sz="0" w:space="0" w:color="auto"/>
        <w:left w:val="none" w:sz="0" w:space="0" w:color="auto"/>
        <w:bottom w:val="none" w:sz="0" w:space="0" w:color="auto"/>
        <w:right w:val="none" w:sz="0" w:space="0" w:color="auto"/>
      </w:divBdr>
    </w:div>
    <w:div w:id="317152150">
      <w:bodyDiv w:val="1"/>
      <w:marLeft w:val="0"/>
      <w:marRight w:val="0"/>
      <w:marTop w:val="0"/>
      <w:marBottom w:val="0"/>
      <w:divBdr>
        <w:top w:val="none" w:sz="0" w:space="0" w:color="auto"/>
        <w:left w:val="none" w:sz="0" w:space="0" w:color="auto"/>
        <w:bottom w:val="none" w:sz="0" w:space="0" w:color="auto"/>
        <w:right w:val="none" w:sz="0" w:space="0" w:color="auto"/>
      </w:divBdr>
    </w:div>
    <w:div w:id="415632549">
      <w:bodyDiv w:val="1"/>
      <w:marLeft w:val="0"/>
      <w:marRight w:val="0"/>
      <w:marTop w:val="0"/>
      <w:marBottom w:val="0"/>
      <w:divBdr>
        <w:top w:val="none" w:sz="0" w:space="0" w:color="auto"/>
        <w:left w:val="none" w:sz="0" w:space="0" w:color="auto"/>
        <w:bottom w:val="none" w:sz="0" w:space="0" w:color="auto"/>
        <w:right w:val="none" w:sz="0" w:space="0" w:color="auto"/>
      </w:divBdr>
      <w:divsChild>
        <w:div w:id="1303196480">
          <w:marLeft w:val="0"/>
          <w:marRight w:val="0"/>
          <w:marTop w:val="120"/>
          <w:marBottom w:val="120"/>
          <w:divBdr>
            <w:top w:val="none" w:sz="0" w:space="0" w:color="auto"/>
            <w:left w:val="none" w:sz="0" w:space="0" w:color="auto"/>
            <w:bottom w:val="none" w:sz="0" w:space="0" w:color="auto"/>
            <w:right w:val="none" w:sz="0" w:space="0" w:color="auto"/>
          </w:divBdr>
        </w:div>
        <w:div w:id="748497835">
          <w:marLeft w:val="0"/>
          <w:marRight w:val="0"/>
          <w:marTop w:val="120"/>
          <w:marBottom w:val="120"/>
          <w:divBdr>
            <w:top w:val="none" w:sz="0" w:space="0" w:color="auto"/>
            <w:left w:val="none" w:sz="0" w:space="0" w:color="auto"/>
            <w:bottom w:val="none" w:sz="0" w:space="0" w:color="auto"/>
            <w:right w:val="none" w:sz="0" w:space="0" w:color="auto"/>
          </w:divBdr>
        </w:div>
        <w:div w:id="1454597370">
          <w:marLeft w:val="0"/>
          <w:marRight w:val="0"/>
          <w:marTop w:val="120"/>
          <w:marBottom w:val="120"/>
          <w:divBdr>
            <w:top w:val="none" w:sz="0" w:space="0" w:color="auto"/>
            <w:left w:val="none" w:sz="0" w:space="0" w:color="auto"/>
            <w:bottom w:val="none" w:sz="0" w:space="0" w:color="auto"/>
            <w:right w:val="none" w:sz="0" w:space="0" w:color="auto"/>
          </w:divBdr>
        </w:div>
        <w:div w:id="1765569064">
          <w:marLeft w:val="0"/>
          <w:marRight w:val="0"/>
          <w:marTop w:val="120"/>
          <w:marBottom w:val="120"/>
          <w:divBdr>
            <w:top w:val="none" w:sz="0" w:space="0" w:color="auto"/>
            <w:left w:val="none" w:sz="0" w:space="0" w:color="auto"/>
            <w:bottom w:val="none" w:sz="0" w:space="0" w:color="auto"/>
            <w:right w:val="none" w:sz="0" w:space="0" w:color="auto"/>
          </w:divBdr>
        </w:div>
      </w:divsChild>
    </w:div>
    <w:div w:id="525290956">
      <w:bodyDiv w:val="1"/>
      <w:marLeft w:val="0"/>
      <w:marRight w:val="0"/>
      <w:marTop w:val="0"/>
      <w:marBottom w:val="0"/>
      <w:divBdr>
        <w:top w:val="none" w:sz="0" w:space="0" w:color="auto"/>
        <w:left w:val="none" w:sz="0" w:space="0" w:color="auto"/>
        <w:bottom w:val="none" w:sz="0" w:space="0" w:color="auto"/>
        <w:right w:val="none" w:sz="0" w:space="0" w:color="auto"/>
      </w:divBdr>
      <w:divsChild>
        <w:div w:id="1500078605">
          <w:marLeft w:val="0"/>
          <w:marRight w:val="0"/>
          <w:marTop w:val="0"/>
          <w:marBottom w:val="0"/>
          <w:divBdr>
            <w:top w:val="none" w:sz="0" w:space="0" w:color="auto"/>
            <w:left w:val="none" w:sz="0" w:space="0" w:color="auto"/>
            <w:bottom w:val="none" w:sz="0" w:space="0" w:color="auto"/>
            <w:right w:val="none" w:sz="0" w:space="0" w:color="auto"/>
          </w:divBdr>
        </w:div>
        <w:div w:id="769471869">
          <w:marLeft w:val="0"/>
          <w:marRight w:val="0"/>
          <w:marTop w:val="0"/>
          <w:marBottom w:val="0"/>
          <w:divBdr>
            <w:top w:val="none" w:sz="0" w:space="0" w:color="auto"/>
            <w:left w:val="none" w:sz="0" w:space="0" w:color="auto"/>
            <w:bottom w:val="none" w:sz="0" w:space="0" w:color="auto"/>
            <w:right w:val="none" w:sz="0" w:space="0" w:color="auto"/>
          </w:divBdr>
        </w:div>
      </w:divsChild>
    </w:div>
    <w:div w:id="561521618">
      <w:bodyDiv w:val="1"/>
      <w:marLeft w:val="0"/>
      <w:marRight w:val="0"/>
      <w:marTop w:val="0"/>
      <w:marBottom w:val="0"/>
      <w:divBdr>
        <w:top w:val="none" w:sz="0" w:space="0" w:color="auto"/>
        <w:left w:val="none" w:sz="0" w:space="0" w:color="auto"/>
        <w:bottom w:val="none" w:sz="0" w:space="0" w:color="auto"/>
        <w:right w:val="none" w:sz="0" w:space="0" w:color="auto"/>
      </w:divBdr>
      <w:divsChild>
        <w:div w:id="1393386936">
          <w:marLeft w:val="0"/>
          <w:marRight w:val="0"/>
          <w:marTop w:val="0"/>
          <w:marBottom w:val="240"/>
          <w:divBdr>
            <w:top w:val="none" w:sz="0" w:space="0" w:color="auto"/>
            <w:left w:val="none" w:sz="0" w:space="0" w:color="auto"/>
            <w:bottom w:val="none" w:sz="0" w:space="0" w:color="auto"/>
            <w:right w:val="none" w:sz="0" w:space="0" w:color="auto"/>
          </w:divBdr>
        </w:div>
        <w:div w:id="1507286186">
          <w:marLeft w:val="0"/>
          <w:marRight w:val="0"/>
          <w:marTop w:val="0"/>
          <w:marBottom w:val="240"/>
          <w:divBdr>
            <w:top w:val="none" w:sz="0" w:space="0" w:color="auto"/>
            <w:left w:val="none" w:sz="0" w:space="0" w:color="auto"/>
            <w:bottom w:val="none" w:sz="0" w:space="0" w:color="auto"/>
            <w:right w:val="none" w:sz="0" w:space="0" w:color="auto"/>
          </w:divBdr>
        </w:div>
        <w:div w:id="376127758">
          <w:marLeft w:val="0"/>
          <w:marRight w:val="0"/>
          <w:marTop w:val="0"/>
          <w:marBottom w:val="240"/>
          <w:divBdr>
            <w:top w:val="none" w:sz="0" w:space="0" w:color="auto"/>
            <w:left w:val="none" w:sz="0" w:space="0" w:color="auto"/>
            <w:bottom w:val="none" w:sz="0" w:space="0" w:color="auto"/>
            <w:right w:val="none" w:sz="0" w:space="0" w:color="auto"/>
          </w:divBdr>
        </w:div>
        <w:div w:id="1123842030">
          <w:marLeft w:val="0"/>
          <w:marRight w:val="0"/>
          <w:marTop w:val="0"/>
          <w:marBottom w:val="240"/>
          <w:divBdr>
            <w:top w:val="none" w:sz="0" w:space="0" w:color="auto"/>
            <w:left w:val="none" w:sz="0" w:space="0" w:color="auto"/>
            <w:bottom w:val="none" w:sz="0" w:space="0" w:color="auto"/>
            <w:right w:val="none" w:sz="0" w:space="0" w:color="auto"/>
          </w:divBdr>
        </w:div>
      </w:divsChild>
    </w:div>
    <w:div w:id="617687356">
      <w:bodyDiv w:val="1"/>
      <w:marLeft w:val="0"/>
      <w:marRight w:val="0"/>
      <w:marTop w:val="0"/>
      <w:marBottom w:val="0"/>
      <w:divBdr>
        <w:top w:val="none" w:sz="0" w:space="0" w:color="auto"/>
        <w:left w:val="none" w:sz="0" w:space="0" w:color="auto"/>
        <w:bottom w:val="none" w:sz="0" w:space="0" w:color="auto"/>
        <w:right w:val="none" w:sz="0" w:space="0" w:color="auto"/>
      </w:divBdr>
      <w:divsChild>
        <w:div w:id="362218661">
          <w:marLeft w:val="120"/>
          <w:marRight w:val="0"/>
          <w:marTop w:val="82"/>
          <w:marBottom w:val="0"/>
          <w:divBdr>
            <w:top w:val="none" w:sz="0" w:space="0" w:color="auto"/>
            <w:left w:val="none" w:sz="0" w:space="0" w:color="auto"/>
            <w:bottom w:val="none" w:sz="0" w:space="0" w:color="auto"/>
            <w:right w:val="none" w:sz="0" w:space="0" w:color="auto"/>
          </w:divBdr>
        </w:div>
        <w:div w:id="1061833124">
          <w:marLeft w:val="120"/>
          <w:marRight w:val="0"/>
          <w:marTop w:val="92"/>
          <w:marBottom w:val="0"/>
          <w:divBdr>
            <w:top w:val="none" w:sz="0" w:space="0" w:color="auto"/>
            <w:left w:val="none" w:sz="0" w:space="0" w:color="auto"/>
            <w:bottom w:val="none" w:sz="0" w:space="0" w:color="auto"/>
            <w:right w:val="none" w:sz="0" w:space="0" w:color="auto"/>
          </w:divBdr>
        </w:div>
      </w:divsChild>
    </w:div>
    <w:div w:id="646476426">
      <w:bodyDiv w:val="1"/>
      <w:marLeft w:val="0"/>
      <w:marRight w:val="0"/>
      <w:marTop w:val="0"/>
      <w:marBottom w:val="0"/>
      <w:divBdr>
        <w:top w:val="none" w:sz="0" w:space="0" w:color="auto"/>
        <w:left w:val="none" w:sz="0" w:space="0" w:color="auto"/>
        <w:bottom w:val="none" w:sz="0" w:space="0" w:color="auto"/>
        <w:right w:val="none" w:sz="0" w:space="0" w:color="auto"/>
      </w:divBdr>
    </w:div>
    <w:div w:id="659238786">
      <w:bodyDiv w:val="1"/>
      <w:marLeft w:val="0"/>
      <w:marRight w:val="0"/>
      <w:marTop w:val="0"/>
      <w:marBottom w:val="0"/>
      <w:divBdr>
        <w:top w:val="none" w:sz="0" w:space="0" w:color="auto"/>
        <w:left w:val="none" w:sz="0" w:space="0" w:color="auto"/>
        <w:bottom w:val="none" w:sz="0" w:space="0" w:color="auto"/>
        <w:right w:val="none" w:sz="0" w:space="0" w:color="auto"/>
      </w:divBdr>
    </w:div>
    <w:div w:id="660042968">
      <w:bodyDiv w:val="1"/>
      <w:marLeft w:val="0"/>
      <w:marRight w:val="0"/>
      <w:marTop w:val="0"/>
      <w:marBottom w:val="0"/>
      <w:divBdr>
        <w:top w:val="none" w:sz="0" w:space="0" w:color="auto"/>
        <w:left w:val="none" w:sz="0" w:space="0" w:color="auto"/>
        <w:bottom w:val="none" w:sz="0" w:space="0" w:color="auto"/>
        <w:right w:val="none" w:sz="0" w:space="0" w:color="auto"/>
      </w:divBdr>
    </w:div>
    <w:div w:id="726534638">
      <w:bodyDiv w:val="1"/>
      <w:marLeft w:val="0"/>
      <w:marRight w:val="0"/>
      <w:marTop w:val="0"/>
      <w:marBottom w:val="0"/>
      <w:divBdr>
        <w:top w:val="none" w:sz="0" w:space="0" w:color="auto"/>
        <w:left w:val="none" w:sz="0" w:space="0" w:color="auto"/>
        <w:bottom w:val="none" w:sz="0" w:space="0" w:color="auto"/>
        <w:right w:val="none" w:sz="0" w:space="0" w:color="auto"/>
      </w:divBdr>
      <w:divsChild>
        <w:div w:id="1816987835">
          <w:marLeft w:val="0"/>
          <w:marRight w:val="0"/>
          <w:marTop w:val="60"/>
          <w:marBottom w:val="60"/>
          <w:divBdr>
            <w:top w:val="none" w:sz="0" w:space="0" w:color="auto"/>
            <w:left w:val="none" w:sz="0" w:space="0" w:color="auto"/>
            <w:bottom w:val="none" w:sz="0" w:space="0" w:color="auto"/>
            <w:right w:val="none" w:sz="0" w:space="0" w:color="auto"/>
          </w:divBdr>
        </w:div>
        <w:div w:id="177696298">
          <w:marLeft w:val="0"/>
          <w:marRight w:val="0"/>
          <w:marTop w:val="0"/>
          <w:marBottom w:val="0"/>
          <w:divBdr>
            <w:top w:val="none" w:sz="0" w:space="0" w:color="auto"/>
            <w:left w:val="none" w:sz="0" w:space="0" w:color="auto"/>
            <w:bottom w:val="none" w:sz="0" w:space="0" w:color="auto"/>
            <w:right w:val="none" w:sz="0" w:space="0" w:color="auto"/>
          </w:divBdr>
        </w:div>
        <w:div w:id="2050184103">
          <w:marLeft w:val="0"/>
          <w:marRight w:val="0"/>
          <w:marTop w:val="0"/>
          <w:marBottom w:val="0"/>
          <w:divBdr>
            <w:top w:val="none" w:sz="0" w:space="0" w:color="auto"/>
            <w:left w:val="none" w:sz="0" w:space="0" w:color="auto"/>
            <w:bottom w:val="none" w:sz="0" w:space="0" w:color="auto"/>
            <w:right w:val="none" w:sz="0" w:space="0" w:color="auto"/>
          </w:divBdr>
          <w:divsChild>
            <w:div w:id="210699861">
              <w:marLeft w:val="0"/>
              <w:marRight w:val="0"/>
              <w:marTop w:val="0"/>
              <w:marBottom w:val="0"/>
              <w:divBdr>
                <w:top w:val="none" w:sz="0" w:space="0" w:color="auto"/>
                <w:left w:val="none" w:sz="0" w:space="0" w:color="auto"/>
                <w:bottom w:val="none" w:sz="0" w:space="0" w:color="auto"/>
                <w:right w:val="none" w:sz="0" w:space="0" w:color="auto"/>
              </w:divBdr>
              <w:divsChild>
                <w:div w:id="154694401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491403630">
          <w:marLeft w:val="0"/>
          <w:marRight w:val="0"/>
          <w:marTop w:val="0"/>
          <w:marBottom w:val="0"/>
          <w:divBdr>
            <w:top w:val="none" w:sz="0" w:space="0" w:color="auto"/>
            <w:left w:val="none" w:sz="0" w:space="0" w:color="auto"/>
            <w:bottom w:val="none" w:sz="0" w:space="0" w:color="auto"/>
            <w:right w:val="none" w:sz="0" w:space="0" w:color="auto"/>
          </w:divBdr>
          <w:divsChild>
            <w:div w:id="1174339690">
              <w:marLeft w:val="0"/>
              <w:marRight w:val="0"/>
              <w:marTop w:val="60"/>
              <w:marBottom w:val="60"/>
              <w:divBdr>
                <w:top w:val="none" w:sz="0" w:space="0" w:color="auto"/>
                <w:left w:val="none" w:sz="0" w:space="0" w:color="auto"/>
                <w:bottom w:val="none" w:sz="0" w:space="0" w:color="auto"/>
                <w:right w:val="none" w:sz="0" w:space="0" w:color="auto"/>
              </w:divBdr>
            </w:div>
          </w:divsChild>
        </w:div>
        <w:div w:id="708722494">
          <w:marLeft w:val="0"/>
          <w:marRight w:val="0"/>
          <w:marTop w:val="0"/>
          <w:marBottom w:val="0"/>
          <w:divBdr>
            <w:top w:val="none" w:sz="0" w:space="0" w:color="auto"/>
            <w:left w:val="none" w:sz="0" w:space="0" w:color="auto"/>
            <w:bottom w:val="none" w:sz="0" w:space="0" w:color="auto"/>
            <w:right w:val="none" w:sz="0" w:space="0" w:color="auto"/>
          </w:divBdr>
        </w:div>
        <w:div w:id="1464346459">
          <w:marLeft w:val="0"/>
          <w:marRight w:val="0"/>
          <w:marTop w:val="60"/>
          <w:marBottom w:val="60"/>
          <w:divBdr>
            <w:top w:val="none" w:sz="0" w:space="0" w:color="auto"/>
            <w:left w:val="none" w:sz="0" w:space="0" w:color="auto"/>
            <w:bottom w:val="none" w:sz="0" w:space="0" w:color="auto"/>
            <w:right w:val="none" w:sz="0" w:space="0" w:color="auto"/>
          </w:divBdr>
        </w:div>
        <w:div w:id="1428233349">
          <w:marLeft w:val="0"/>
          <w:marRight w:val="0"/>
          <w:marTop w:val="60"/>
          <w:marBottom w:val="60"/>
          <w:divBdr>
            <w:top w:val="none" w:sz="0" w:space="0" w:color="auto"/>
            <w:left w:val="none" w:sz="0" w:space="0" w:color="auto"/>
            <w:bottom w:val="none" w:sz="0" w:space="0" w:color="auto"/>
            <w:right w:val="none" w:sz="0" w:space="0" w:color="auto"/>
          </w:divBdr>
        </w:div>
      </w:divsChild>
    </w:div>
    <w:div w:id="754013492">
      <w:bodyDiv w:val="1"/>
      <w:marLeft w:val="0"/>
      <w:marRight w:val="0"/>
      <w:marTop w:val="0"/>
      <w:marBottom w:val="0"/>
      <w:divBdr>
        <w:top w:val="none" w:sz="0" w:space="0" w:color="auto"/>
        <w:left w:val="none" w:sz="0" w:space="0" w:color="auto"/>
        <w:bottom w:val="none" w:sz="0" w:space="0" w:color="auto"/>
        <w:right w:val="none" w:sz="0" w:space="0" w:color="auto"/>
      </w:divBdr>
      <w:divsChild>
        <w:div w:id="738400734">
          <w:marLeft w:val="0"/>
          <w:marRight w:val="0"/>
          <w:marTop w:val="120"/>
          <w:marBottom w:val="120"/>
          <w:divBdr>
            <w:top w:val="none" w:sz="0" w:space="0" w:color="auto"/>
            <w:left w:val="none" w:sz="0" w:space="0" w:color="auto"/>
            <w:bottom w:val="none" w:sz="0" w:space="0" w:color="auto"/>
            <w:right w:val="none" w:sz="0" w:space="0" w:color="auto"/>
          </w:divBdr>
        </w:div>
        <w:div w:id="1885405779">
          <w:marLeft w:val="0"/>
          <w:marRight w:val="0"/>
          <w:marTop w:val="120"/>
          <w:marBottom w:val="120"/>
          <w:divBdr>
            <w:top w:val="none" w:sz="0" w:space="0" w:color="auto"/>
            <w:left w:val="none" w:sz="0" w:space="0" w:color="auto"/>
            <w:bottom w:val="none" w:sz="0" w:space="0" w:color="auto"/>
            <w:right w:val="none" w:sz="0" w:space="0" w:color="auto"/>
          </w:divBdr>
        </w:div>
      </w:divsChild>
    </w:div>
    <w:div w:id="811873076">
      <w:bodyDiv w:val="1"/>
      <w:marLeft w:val="0"/>
      <w:marRight w:val="0"/>
      <w:marTop w:val="0"/>
      <w:marBottom w:val="0"/>
      <w:divBdr>
        <w:top w:val="none" w:sz="0" w:space="0" w:color="auto"/>
        <w:left w:val="none" w:sz="0" w:space="0" w:color="auto"/>
        <w:bottom w:val="none" w:sz="0" w:space="0" w:color="auto"/>
        <w:right w:val="none" w:sz="0" w:space="0" w:color="auto"/>
      </w:divBdr>
    </w:div>
    <w:div w:id="829834972">
      <w:bodyDiv w:val="1"/>
      <w:marLeft w:val="0"/>
      <w:marRight w:val="0"/>
      <w:marTop w:val="0"/>
      <w:marBottom w:val="0"/>
      <w:divBdr>
        <w:top w:val="none" w:sz="0" w:space="0" w:color="auto"/>
        <w:left w:val="none" w:sz="0" w:space="0" w:color="auto"/>
        <w:bottom w:val="none" w:sz="0" w:space="0" w:color="auto"/>
        <w:right w:val="none" w:sz="0" w:space="0" w:color="auto"/>
      </w:divBdr>
      <w:divsChild>
        <w:div w:id="799810407">
          <w:marLeft w:val="0"/>
          <w:marRight w:val="0"/>
          <w:marTop w:val="60"/>
          <w:marBottom w:val="60"/>
          <w:divBdr>
            <w:top w:val="none" w:sz="0" w:space="0" w:color="auto"/>
            <w:left w:val="none" w:sz="0" w:space="0" w:color="auto"/>
            <w:bottom w:val="none" w:sz="0" w:space="0" w:color="auto"/>
            <w:right w:val="none" w:sz="0" w:space="0" w:color="auto"/>
          </w:divBdr>
        </w:div>
      </w:divsChild>
    </w:div>
    <w:div w:id="923106124">
      <w:bodyDiv w:val="1"/>
      <w:marLeft w:val="0"/>
      <w:marRight w:val="0"/>
      <w:marTop w:val="0"/>
      <w:marBottom w:val="0"/>
      <w:divBdr>
        <w:top w:val="none" w:sz="0" w:space="0" w:color="auto"/>
        <w:left w:val="none" w:sz="0" w:space="0" w:color="auto"/>
        <w:bottom w:val="none" w:sz="0" w:space="0" w:color="auto"/>
        <w:right w:val="none" w:sz="0" w:space="0" w:color="auto"/>
      </w:divBdr>
      <w:divsChild>
        <w:div w:id="527765283">
          <w:marLeft w:val="0"/>
          <w:marRight w:val="0"/>
          <w:marTop w:val="0"/>
          <w:marBottom w:val="0"/>
          <w:divBdr>
            <w:top w:val="none" w:sz="0" w:space="0" w:color="auto"/>
            <w:left w:val="none" w:sz="0" w:space="0" w:color="auto"/>
            <w:bottom w:val="none" w:sz="0" w:space="0" w:color="auto"/>
            <w:right w:val="none" w:sz="0" w:space="0" w:color="auto"/>
          </w:divBdr>
        </w:div>
      </w:divsChild>
    </w:div>
    <w:div w:id="999430593">
      <w:bodyDiv w:val="1"/>
      <w:marLeft w:val="0"/>
      <w:marRight w:val="0"/>
      <w:marTop w:val="0"/>
      <w:marBottom w:val="0"/>
      <w:divBdr>
        <w:top w:val="none" w:sz="0" w:space="0" w:color="auto"/>
        <w:left w:val="none" w:sz="0" w:space="0" w:color="auto"/>
        <w:bottom w:val="none" w:sz="0" w:space="0" w:color="auto"/>
        <w:right w:val="none" w:sz="0" w:space="0" w:color="auto"/>
      </w:divBdr>
    </w:div>
    <w:div w:id="1051271760">
      <w:bodyDiv w:val="1"/>
      <w:marLeft w:val="0"/>
      <w:marRight w:val="0"/>
      <w:marTop w:val="0"/>
      <w:marBottom w:val="0"/>
      <w:divBdr>
        <w:top w:val="none" w:sz="0" w:space="0" w:color="auto"/>
        <w:left w:val="none" w:sz="0" w:space="0" w:color="auto"/>
        <w:bottom w:val="none" w:sz="0" w:space="0" w:color="auto"/>
        <w:right w:val="none" w:sz="0" w:space="0" w:color="auto"/>
      </w:divBdr>
      <w:divsChild>
        <w:div w:id="729887162">
          <w:marLeft w:val="0"/>
          <w:marRight w:val="0"/>
          <w:marTop w:val="120"/>
          <w:marBottom w:val="120"/>
          <w:divBdr>
            <w:top w:val="none" w:sz="0" w:space="0" w:color="auto"/>
            <w:left w:val="none" w:sz="0" w:space="0" w:color="auto"/>
            <w:bottom w:val="none" w:sz="0" w:space="0" w:color="auto"/>
            <w:right w:val="none" w:sz="0" w:space="0" w:color="auto"/>
          </w:divBdr>
        </w:div>
      </w:divsChild>
    </w:div>
    <w:div w:id="1377656488">
      <w:bodyDiv w:val="1"/>
      <w:marLeft w:val="0"/>
      <w:marRight w:val="0"/>
      <w:marTop w:val="0"/>
      <w:marBottom w:val="0"/>
      <w:divBdr>
        <w:top w:val="none" w:sz="0" w:space="0" w:color="auto"/>
        <w:left w:val="none" w:sz="0" w:space="0" w:color="auto"/>
        <w:bottom w:val="none" w:sz="0" w:space="0" w:color="auto"/>
        <w:right w:val="none" w:sz="0" w:space="0" w:color="auto"/>
      </w:divBdr>
    </w:div>
    <w:div w:id="1390038029">
      <w:bodyDiv w:val="1"/>
      <w:marLeft w:val="0"/>
      <w:marRight w:val="0"/>
      <w:marTop w:val="0"/>
      <w:marBottom w:val="0"/>
      <w:divBdr>
        <w:top w:val="none" w:sz="0" w:space="0" w:color="auto"/>
        <w:left w:val="none" w:sz="0" w:space="0" w:color="auto"/>
        <w:bottom w:val="none" w:sz="0" w:space="0" w:color="auto"/>
        <w:right w:val="none" w:sz="0" w:space="0" w:color="auto"/>
      </w:divBdr>
    </w:div>
    <w:div w:id="1509369848">
      <w:bodyDiv w:val="1"/>
      <w:marLeft w:val="0"/>
      <w:marRight w:val="0"/>
      <w:marTop w:val="0"/>
      <w:marBottom w:val="0"/>
      <w:divBdr>
        <w:top w:val="none" w:sz="0" w:space="0" w:color="auto"/>
        <w:left w:val="none" w:sz="0" w:space="0" w:color="auto"/>
        <w:bottom w:val="none" w:sz="0" w:space="0" w:color="auto"/>
        <w:right w:val="none" w:sz="0" w:space="0" w:color="auto"/>
      </w:divBdr>
    </w:div>
    <w:div w:id="1535466002">
      <w:bodyDiv w:val="1"/>
      <w:marLeft w:val="0"/>
      <w:marRight w:val="0"/>
      <w:marTop w:val="0"/>
      <w:marBottom w:val="0"/>
      <w:divBdr>
        <w:top w:val="none" w:sz="0" w:space="0" w:color="auto"/>
        <w:left w:val="none" w:sz="0" w:space="0" w:color="auto"/>
        <w:bottom w:val="none" w:sz="0" w:space="0" w:color="auto"/>
        <w:right w:val="none" w:sz="0" w:space="0" w:color="auto"/>
      </w:divBdr>
    </w:div>
    <w:div w:id="1651396265">
      <w:bodyDiv w:val="1"/>
      <w:marLeft w:val="0"/>
      <w:marRight w:val="0"/>
      <w:marTop w:val="0"/>
      <w:marBottom w:val="0"/>
      <w:divBdr>
        <w:top w:val="none" w:sz="0" w:space="0" w:color="auto"/>
        <w:left w:val="none" w:sz="0" w:space="0" w:color="auto"/>
        <w:bottom w:val="none" w:sz="0" w:space="0" w:color="auto"/>
        <w:right w:val="none" w:sz="0" w:space="0" w:color="auto"/>
      </w:divBdr>
    </w:div>
    <w:div w:id="1671904384">
      <w:bodyDiv w:val="1"/>
      <w:marLeft w:val="0"/>
      <w:marRight w:val="0"/>
      <w:marTop w:val="0"/>
      <w:marBottom w:val="0"/>
      <w:divBdr>
        <w:top w:val="none" w:sz="0" w:space="0" w:color="auto"/>
        <w:left w:val="none" w:sz="0" w:space="0" w:color="auto"/>
        <w:bottom w:val="none" w:sz="0" w:space="0" w:color="auto"/>
        <w:right w:val="none" w:sz="0" w:space="0" w:color="auto"/>
      </w:divBdr>
    </w:div>
    <w:div w:id="1866825655">
      <w:bodyDiv w:val="1"/>
      <w:marLeft w:val="0"/>
      <w:marRight w:val="0"/>
      <w:marTop w:val="0"/>
      <w:marBottom w:val="0"/>
      <w:divBdr>
        <w:top w:val="none" w:sz="0" w:space="0" w:color="auto"/>
        <w:left w:val="none" w:sz="0" w:space="0" w:color="auto"/>
        <w:bottom w:val="none" w:sz="0" w:space="0" w:color="auto"/>
        <w:right w:val="none" w:sz="0" w:space="0" w:color="auto"/>
      </w:divBdr>
      <w:divsChild>
        <w:div w:id="976030376">
          <w:marLeft w:val="0"/>
          <w:marRight w:val="0"/>
          <w:marTop w:val="120"/>
          <w:marBottom w:val="120"/>
          <w:divBdr>
            <w:top w:val="none" w:sz="0" w:space="0" w:color="auto"/>
            <w:left w:val="none" w:sz="0" w:space="0" w:color="auto"/>
            <w:bottom w:val="none" w:sz="0" w:space="0" w:color="auto"/>
            <w:right w:val="none" w:sz="0" w:space="0" w:color="auto"/>
          </w:divBdr>
        </w:div>
        <w:div w:id="1490511598">
          <w:marLeft w:val="0"/>
          <w:marRight w:val="0"/>
          <w:marTop w:val="120"/>
          <w:marBottom w:val="120"/>
          <w:divBdr>
            <w:top w:val="none" w:sz="0" w:space="0" w:color="auto"/>
            <w:left w:val="none" w:sz="0" w:space="0" w:color="auto"/>
            <w:bottom w:val="none" w:sz="0" w:space="0" w:color="auto"/>
            <w:right w:val="none" w:sz="0" w:space="0" w:color="auto"/>
          </w:divBdr>
        </w:div>
        <w:div w:id="1582324943">
          <w:marLeft w:val="0"/>
          <w:marRight w:val="0"/>
          <w:marTop w:val="120"/>
          <w:marBottom w:val="120"/>
          <w:divBdr>
            <w:top w:val="none" w:sz="0" w:space="0" w:color="auto"/>
            <w:left w:val="none" w:sz="0" w:space="0" w:color="auto"/>
            <w:bottom w:val="none" w:sz="0" w:space="0" w:color="auto"/>
            <w:right w:val="none" w:sz="0" w:space="0" w:color="auto"/>
          </w:divBdr>
        </w:div>
        <w:div w:id="192504675">
          <w:marLeft w:val="0"/>
          <w:marRight w:val="0"/>
          <w:marTop w:val="120"/>
          <w:marBottom w:val="120"/>
          <w:divBdr>
            <w:top w:val="none" w:sz="0" w:space="0" w:color="auto"/>
            <w:left w:val="none" w:sz="0" w:space="0" w:color="auto"/>
            <w:bottom w:val="none" w:sz="0" w:space="0" w:color="auto"/>
            <w:right w:val="none" w:sz="0" w:space="0" w:color="auto"/>
          </w:divBdr>
        </w:div>
      </w:divsChild>
    </w:div>
    <w:div w:id="1880434491">
      <w:bodyDiv w:val="1"/>
      <w:marLeft w:val="0"/>
      <w:marRight w:val="0"/>
      <w:marTop w:val="0"/>
      <w:marBottom w:val="0"/>
      <w:divBdr>
        <w:top w:val="none" w:sz="0" w:space="0" w:color="auto"/>
        <w:left w:val="none" w:sz="0" w:space="0" w:color="auto"/>
        <w:bottom w:val="none" w:sz="0" w:space="0" w:color="auto"/>
        <w:right w:val="none" w:sz="0" w:space="0" w:color="auto"/>
      </w:divBdr>
    </w:div>
    <w:div w:id="1906797408">
      <w:bodyDiv w:val="1"/>
      <w:marLeft w:val="0"/>
      <w:marRight w:val="0"/>
      <w:marTop w:val="0"/>
      <w:marBottom w:val="0"/>
      <w:divBdr>
        <w:top w:val="none" w:sz="0" w:space="0" w:color="auto"/>
        <w:left w:val="none" w:sz="0" w:space="0" w:color="auto"/>
        <w:bottom w:val="none" w:sz="0" w:space="0" w:color="auto"/>
        <w:right w:val="none" w:sz="0" w:space="0" w:color="auto"/>
      </w:divBdr>
    </w:div>
    <w:div w:id="2000618804">
      <w:bodyDiv w:val="1"/>
      <w:marLeft w:val="0"/>
      <w:marRight w:val="0"/>
      <w:marTop w:val="0"/>
      <w:marBottom w:val="0"/>
      <w:divBdr>
        <w:top w:val="none" w:sz="0" w:space="0" w:color="auto"/>
        <w:left w:val="none" w:sz="0" w:space="0" w:color="auto"/>
        <w:bottom w:val="none" w:sz="0" w:space="0" w:color="auto"/>
        <w:right w:val="none" w:sz="0" w:space="0" w:color="auto"/>
      </w:divBdr>
    </w:div>
    <w:div w:id="2011448000">
      <w:bodyDiv w:val="1"/>
      <w:marLeft w:val="0"/>
      <w:marRight w:val="0"/>
      <w:marTop w:val="0"/>
      <w:marBottom w:val="0"/>
      <w:divBdr>
        <w:top w:val="none" w:sz="0" w:space="0" w:color="auto"/>
        <w:left w:val="none" w:sz="0" w:space="0" w:color="auto"/>
        <w:bottom w:val="none" w:sz="0" w:space="0" w:color="auto"/>
        <w:right w:val="none" w:sz="0" w:space="0" w:color="auto"/>
      </w:divBdr>
    </w:div>
    <w:div w:id="2027054682">
      <w:bodyDiv w:val="1"/>
      <w:marLeft w:val="0"/>
      <w:marRight w:val="0"/>
      <w:marTop w:val="0"/>
      <w:marBottom w:val="0"/>
      <w:divBdr>
        <w:top w:val="none" w:sz="0" w:space="0" w:color="auto"/>
        <w:left w:val="none" w:sz="0" w:space="0" w:color="auto"/>
        <w:bottom w:val="none" w:sz="0" w:space="0" w:color="auto"/>
        <w:right w:val="none" w:sz="0" w:space="0" w:color="auto"/>
      </w:divBdr>
      <w:divsChild>
        <w:div w:id="2102800264">
          <w:marLeft w:val="0"/>
          <w:marRight w:val="0"/>
          <w:marTop w:val="0"/>
          <w:marBottom w:val="0"/>
          <w:divBdr>
            <w:top w:val="none" w:sz="0" w:space="0" w:color="auto"/>
            <w:left w:val="none" w:sz="0" w:space="0" w:color="auto"/>
            <w:bottom w:val="none" w:sz="0" w:space="0" w:color="auto"/>
            <w:right w:val="none" w:sz="0" w:space="0" w:color="auto"/>
          </w:divBdr>
          <w:divsChild>
            <w:div w:id="118492978">
              <w:marLeft w:val="0"/>
              <w:marRight w:val="0"/>
              <w:marTop w:val="0"/>
              <w:marBottom w:val="0"/>
              <w:divBdr>
                <w:top w:val="none" w:sz="0" w:space="0" w:color="auto"/>
                <w:left w:val="none" w:sz="0" w:space="0" w:color="auto"/>
                <w:bottom w:val="none" w:sz="0" w:space="0" w:color="auto"/>
                <w:right w:val="none" w:sz="0" w:space="0" w:color="auto"/>
              </w:divBdr>
              <w:divsChild>
                <w:div w:id="339359107">
                  <w:marLeft w:val="0"/>
                  <w:marRight w:val="0"/>
                  <w:marTop w:val="0"/>
                  <w:marBottom w:val="0"/>
                  <w:divBdr>
                    <w:top w:val="none" w:sz="0" w:space="0" w:color="auto"/>
                    <w:left w:val="none" w:sz="0" w:space="0" w:color="auto"/>
                    <w:bottom w:val="none" w:sz="0" w:space="0" w:color="auto"/>
                    <w:right w:val="none" w:sz="0" w:space="0" w:color="auto"/>
                  </w:divBdr>
                  <w:divsChild>
                    <w:div w:id="1453669043">
                      <w:marLeft w:val="529"/>
                      <w:marRight w:val="0"/>
                      <w:marTop w:val="361"/>
                      <w:marBottom w:val="0"/>
                      <w:divBdr>
                        <w:top w:val="none" w:sz="0" w:space="0" w:color="auto"/>
                        <w:left w:val="none" w:sz="0" w:space="0" w:color="auto"/>
                        <w:bottom w:val="none" w:sz="0" w:space="0" w:color="auto"/>
                        <w:right w:val="none" w:sz="0" w:space="0" w:color="auto"/>
                      </w:divBdr>
                      <w:divsChild>
                        <w:div w:id="1527908054">
                          <w:marLeft w:val="120"/>
                          <w:marRight w:val="0"/>
                          <w:marTop w:val="82"/>
                          <w:marBottom w:val="0"/>
                          <w:divBdr>
                            <w:top w:val="none" w:sz="0" w:space="0" w:color="auto"/>
                            <w:left w:val="none" w:sz="0" w:space="0" w:color="auto"/>
                            <w:bottom w:val="none" w:sz="0" w:space="0" w:color="auto"/>
                            <w:right w:val="none" w:sz="0" w:space="0" w:color="auto"/>
                          </w:divBdr>
                        </w:div>
                      </w:divsChild>
                    </w:div>
                    <w:div w:id="700711023">
                      <w:marLeft w:val="469"/>
                      <w:marRight w:val="0"/>
                      <w:marTop w:val="361"/>
                      <w:marBottom w:val="0"/>
                      <w:divBdr>
                        <w:top w:val="none" w:sz="0" w:space="0" w:color="auto"/>
                        <w:left w:val="none" w:sz="0" w:space="0" w:color="auto"/>
                        <w:bottom w:val="none" w:sz="0" w:space="0" w:color="auto"/>
                        <w:right w:val="none" w:sz="0" w:space="0" w:color="auto"/>
                      </w:divBdr>
                      <w:divsChild>
                        <w:div w:id="2041515526">
                          <w:marLeft w:val="120"/>
                          <w:marRight w:val="0"/>
                          <w:marTop w:val="0"/>
                          <w:marBottom w:val="0"/>
                          <w:divBdr>
                            <w:top w:val="none" w:sz="0" w:space="0" w:color="auto"/>
                            <w:left w:val="none" w:sz="0" w:space="0" w:color="auto"/>
                            <w:bottom w:val="none" w:sz="0" w:space="0" w:color="auto"/>
                            <w:right w:val="none" w:sz="0" w:space="0" w:color="auto"/>
                          </w:divBdr>
                        </w:div>
                        <w:div w:id="222370711">
                          <w:marLeft w:val="120"/>
                          <w:marRight w:val="0"/>
                          <w:marTop w:val="92"/>
                          <w:marBottom w:val="0"/>
                          <w:divBdr>
                            <w:top w:val="none" w:sz="0" w:space="0" w:color="auto"/>
                            <w:left w:val="none" w:sz="0" w:space="0" w:color="auto"/>
                            <w:bottom w:val="none" w:sz="0" w:space="0" w:color="auto"/>
                            <w:right w:val="none" w:sz="0" w:space="0" w:color="auto"/>
                          </w:divBdr>
                        </w:div>
                        <w:div w:id="91821764">
                          <w:marLeft w:val="120"/>
                          <w:marRight w:val="0"/>
                          <w:marTop w:val="92"/>
                          <w:marBottom w:val="0"/>
                          <w:divBdr>
                            <w:top w:val="none" w:sz="0" w:space="0" w:color="auto"/>
                            <w:left w:val="none" w:sz="0" w:space="0" w:color="auto"/>
                            <w:bottom w:val="none" w:sz="0" w:space="0" w:color="auto"/>
                            <w:right w:val="none" w:sz="0" w:space="0" w:color="auto"/>
                          </w:divBdr>
                        </w:div>
                        <w:div w:id="1585258880">
                          <w:marLeft w:val="120"/>
                          <w:marRight w:val="0"/>
                          <w:marTop w:val="92"/>
                          <w:marBottom w:val="0"/>
                          <w:divBdr>
                            <w:top w:val="none" w:sz="0" w:space="0" w:color="auto"/>
                            <w:left w:val="none" w:sz="0" w:space="0" w:color="auto"/>
                            <w:bottom w:val="none" w:sz="0" w:space="0" w:color="auto"/>
                            <w:right w:val="none" w:sz="0" w:space="0" w:color="auto"/>
                          </w:divBdr>
                        </w:div>
                        <w:div w:id="933633411">
                          <w:marLeft w:val="120"/>
                          <w:marRight w:val="0"/>
                          <w:marTop w:val="92"/>
                          <w:marBottom w:val="0"/>
                          <w:divBdr>
                            <w:top w:val="none" w:sz="0" w:space="0" w:color="auto"/>
                            <w:left w:val="none" w:sz="0" w:space="0" w:color="auto"/>
                            <w:bottom w:val="none" w:sz="0" w:space="0" w:color="auto"/>
                            <w:right w:val="none" w:sz="0" w:space="0" w:color="auto"/>
                          </w:divBdr>
                        </w:div>
                      </w:divsChild>
                    </w:div>
                    <w:div w:id="730541580">
                      <w:marLeft w:val="646"/>
                      <w:marRight w:val="0"/>
                      <w:marTop w:val="255"/>
                      <w:marBottom w:val="0"/>
                      <w:divBdr>
                        <w:top w:val="none" w:sz="0" w:space="0" w:color="auto"/>
                        <w:left w:val="none" w:sz="0" w:space="0" w:color="auto"/>
                        <w:bottom w:val="none" w:sz="0" w:space="0" w:color="auto"/>
                        <w:right w:val="none" w:sz="0" w:space="0" w:color="auto"/>
                      </w:divBdr>
                      <w:divsChild>
                        <w:div w:id="638725721">
                          <w:marLeft w:val="0"/>
                          <w:marRight w:val="0"/>
                          <w:marTop w:val="0"/>
                          <w:marBottom w:val="0"/>
                          <w:divBdr>
                            <w:top w:val="none" w:sz="0" w:space="0" w:color="auto"/>
                            <w:left w:val="none" w:sz="0" w:space="0" w:color="auto"/>
                            <w:bottom w:val="none" w:sz="0" w:space="0" w:color="auto"/>
                            <w:right w:val="none" w:sz="0" w:space="0" w:color="auto"/>
                          </w:divBdr>
                          <w:divsChild>
                            <w:div w:id="1860704002">
                              <w:marLeft w:val="0"/>
                              <w:marRight w:val="0"/>
                              <w:marTop w:val="0"/>
                              <w:marBottom w:val="0"/>
                              <w:divBdr>
                                <w:top w:val="none" w:sz="0" w:space="0" w:color="auto"/>
                                <w:left w:val="none" w:sz="0" w:space="0" w:color="auto"/>
                                <w:bottom w:val="none" w:sz="0" w:space="0" w:color="auto"/>
                                <w:right w:val="none" w:sz="0" w:space="0" w:color="auto"/>
                              </w:divBdr>
                              <w:divsChild>
                                <w:div w:id="5938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185619">
          <w:marLeft w:val="0"/>
          <w:marRight w:val="0"/>
          <w:marTop w:val="0"/>
          <w:marBottom w:val="0"/>
          <w:divBdr>
            <w:top w:val="none" w:sz="0" w:space="0" w:color="auto"/>
            <w:left w:val="none" w:sz="0" w:space="0" w:color="auto"/>
            <w:bottom w:val="none" w:sz="0" w:space="0" w:color="auto"/>
            <w:right w:val="none" w:sz="0" w:space="0" w:color="auto"/>
          </w:divBdr>
          <w:divsChild>
            <w:div w:id="1670863547">
              <w:marLeft w:val="0"/>
              <w:marRight w:val="0"/>
              <w:marTop w:val="0"/>
              <w:marBottom w:val="0"/>
              <w:divBdr>
                <w:top w:val="none" w:sz="0" w:space="0" w:color="auto"/>
                <w:left w:val="none" w:sz="0" w:space="0" w:color="auto"/>
                <w:bottom w:val="none" w:sz="0" w:space="0" w:color="auto"/>
                <w:right w:val="none" w:sz="0" w:space="0" w:color="auto"/>
              </w:divBdr>
              <w:divsChild>
                <w:div w:id="1631398604">
                  <w:marLeft w:val="0"/>
                  <w:marRight w:val="0"/>
                  <w:marTop w:val="0"/>
                  <w:marBottom w:val="0"/>
                  <w:divBdr>
                    <w:top w:val="none" w:sz="0" w:space="0" w:color="auto"/>
                    <w:left w:val="none" w:sz="0" w:space="0" w:color="auto"/>
                    <w:bottom w:val="none" w:sz="0" w:space="0" w:color="auto"/>
                    <w:right w:val="none" w:sz="0" w:space="0" w:color="auto"/>
                  </w:divBdr>
                  <w:divsChild>
                    <w:div w:id="2106463086">
                      <w:marLeft w:val="529"/>
                      <w:marRight w:val="0"/>
                      <w:marTop w:val="510"/>
                      <w:marBottom w:val="0"/>
                      <w:divBdr>
                        <w:top w:val="none" w:sz="0" w:space="0" w:color="auto"/>
                        <w:left w:val="none" w:sz="0" w:space="0" w:color="auto"/>
                        <w:bottom w:val="none" w:sz="0" w:space="0" w:color="auto"/>
                        <w:right w:val="none" w:sz="0" w:space="0" w:color="auto"/>
                      </w:divBdr>
                      <w:divsChild>
                        <w:div w:id="52706304">
                          <w:marLeft w:val="120"/>
                          <w:marRight w:val="0"/>
                          <w:marTop w:val="0"/>
                          <w:marBottom w:val="0"/>
                          <w:divBdr>
                            <w:top w:val="none" w:sz="0" w:space="0" w:color="auto"/>
                            <w:left w:val="none" w:sz="0" w:space="0" w:color="auto"/>
                            <w:bottom w:val="none" w:sz="0" w:space="0" w:color="auto"/>
                            <w:right w:val="none" w:sz="0" w:space="0" w:color="auto"/>
                          </w:divBdr>
                        </w:div>
                        <w:div w:id="1418208008">
                          <w:marLeft w:val="120"/>
                          <w:marRight w:val="0"/>
                          <w:marTop w:val="92"/>
                          <w:marBottom w:val="0"/>
                          <w:divBdr>
                            <w:top w:val="none" w:sz="0" w:space="0" w:color="auto"/>
                            <w:left w:val="none" w:sz="0" w:space="0" w:color="auto"/>
                            <w:bottom w:val="none" w:sz="0" w:space="0" w:color="auto"/>
                            <w:right w:val="none" w:sz="0" w:space="0" w:color="auto"/>
                          </w:divBdr>
                        </w:div>
                        <w:div w:id="1806507807">
                          <w:marLeft w:val="120"/>
                          <w:marRight w:val="0"/>
                          <w:marTop w:val="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515293">
      <w:bodyDiv w:val="1"/>
      <w:marLeft w:val="0"/>
      <w:marRight w:val="0"/>
      <w:marTop w:val="0"/>
      <w:marBottom w:val="0"/>
      <w:divBdr>
        <w:top w:val="none" w:sz="0" w:space="0" w:color="auto"/>
        <w:left w:val="none" w:sz="0" w:space="0" w:color="auto"/>
        <w:bottom w:val="none" w:sz="0" w:space="0" w:color="auto"/>
        <w:right w:val="none" w:sz="0" w:space="0" w:color="auto"/>
      </w:divBdr>
      <w:divsChild>
        <w:div w:id="1020740898">
          <w:marLeft w:val="0"/>
          <w:marRight w:val="0"/>
          <w:marTop w:val="120"/>
          <w:marBottom w:val="120"/>
          <w:divBdr>
            <w:top w:val="none" w:sz="0" w:space="0" w:color="auto"/>
            <w:left w:val="none" w:sz="0" w:space="0" w:color="auto"/>
            <w:bottom w:val="none" w:sz="0" w:space="0" w:color="auto"/>
            <w:right w:val="none" w:sz="0" w:space="0" w:color="auto"/>
          </w:divBdr>
        </w:div>
        <w:div w:id="1457480192">
          <w:marLeft w:val="0"/>
          <w:marRight w:val="0"/>
          <w:marTop w:val="120"/>
          <w:marBottom w:val="120"/>
          <w:divBdr>
            <w:top w:val="none" w:sz="0" w:space="0" w:color="auto"/>
            <w:left w:val="none" w:sz="0" w:space="0" w:color="auto"/>
            <w:bottom w:val="none" w:sz="0" w:space="0" w:color="auto"/>
            <w:right w:val="none" w:sz="0" w:space="0" w:color="auto"/>
          </w:divBdr>
        </w:div>
        <w:div w:id="896546229">
          <w:marLeft w:val="0"/>
          <w:marRight w:val="0"/>
          <w:marTop w:val="120"/>
          <w:marBottom w:val="120"/>
          <w:divBdr>
            <w:top w:val="none" w:sz="0" w:space="0" w:color="auto"/>
            <w:left w:val="none" w:sz="0" w:space="0" w:color="auto"/>
            <w:bottom w:val="none" w:sz="0" w:space="0" w:color="auto"/>
            <w:right w:val="none" w:sz="0" w:space="0" w:color="auto"/>
          </w:divBdr>
        </w:div>
      </w:divsChild>
    </w:div>
    <w:div w:id="2078285280">
      <w:bodyDiv w:val="1"/>
      <w:marLeft w:val="0"/>
      <w:marRight w:val="0"/>
      <w:marTop w:val="0"/>
      <w:marBottom w:val="0"/>
      <w:divBdr>
        <w:top w:val="none" w:sz="0" w:space="0" w:color="auto"/>
        <w:left w:val="none" w:sz="0" w:space="0" w:color="auto"/>
        <w:bottom w:val="none" w:sz="0" w:space="0" w:color="auto"/>
        <w:right w:val="none" w:sz="0" w:space="0" w:color="auto"/>
      </w:divBdr>
      <w:divsChild>
        <w:div w:id="1176460920">
          <w:marLeft w:val="0"/>
          <w:marRight w:val="0"/>
          <w:marTop w:val="60"/>
          <w:marBottom w:val="60"/>
          <w:divBdr>
            <w:top w:val="none" w:sz="0" w:space="0" w:color="auto"/>
            <w:left w:val="none" w:sz="0" w:space="0" w:color="auto"/>
            <w:bottom w:val="none" w:sz="0" w:space="0" w:color="auto"/>
            <w:right w:val="none" w:sz="0" w:space="0" w:color="auto"/>
          </w:divBdr>
        </w:div>
        <w:div w:id="1898199185">
          <w:marLeft w:val="0"/>
          <w:marRight w:val="0"/>
          <w:marTop w:val="0"/>
          <w:marBottom w:val="0"/>
          <w:divBdr>
            <w:top w:val="none" w:sz="0" w:space="0" w:color="auto"/>
            <w:left w:val="none" w:sz="0" w:space="0" w:color="auto"/>
            <w:bottom w:val="none" w:sz="0" w:space="0" w:color="auto"/>
            <w:right w:val="none" w:sz="0" w:space="0" w:color="auto"/>
          </w:divBdr>
          <w:divsChild>
            <w:div w:id="1744912688">
              <w:marLeft w:val="0"/>
              <w:marRight w:val="0"/>
              <w:marTop w:val="0"/>
              <w:marBottom w:val="0"/>
              <w:divBdr>
                <w:top w:val="none" w:sz="0" w:space="0" w:color="auto"/>
                <w:left w:val="none" w:sz="0" w:space="0" w:color="auto"/>
                <w:bottom w:val="none" w:sz="0" w:space="0" w:color="auto"/>
                <w:right w:val="none" w:sz="0" w:space="0" w:color="auto"/>
              </w:divBdr>
              <w:divsChild>
                <w:div w:id="92557586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793794806">
          <w:marLeft w:val="0"/>
          <w:marRight w:val="0"/>
          <w:marTop w:val="0"/>
          <w:marBottom w:val="0"/>
          <w:divBdr>
            <w:top w:val="none" w:sz="0" w:space="0" w:color="auto"/>
            <w:left w:val="none" w:sz="0" w:space="0" w:color="auto"/>
            <w:bottom w:val="none" w:sz="0" w:space="0" w:color="auto"/>
            <w:right w:val="none" w:sz="0" w:space="0" w:color="auto"/>
          </w:divBdr>
          <w:divsChild>
            <w:div w:id="885408283">
              <w:marLeft w:val="0"/>
              <w:marRight w:val="0"/>
              <w:marTop w:val="60"/>
              <w:marBottom w:val="60"/>
              <w:divBdr>
                <w:top w:val="none" w:sz="0" w:space="0" w:color="auto"/>
                <w:left w:val="none" w:sz="0" w:space="0" w:color="auto"/>
                <w:bottom w:val="none" w:sz="0" w:space="0" w:color="auto"/>
                <w:right w:val="none" w:sz="0" w:space="0" w:color="auto"/>
              </w:divBdr>
            </w:div>
          </w:divsChild>
        </w:div>
        <w:div w:id="135952493">
          <w:marLeft w:val="0"/>
          <w:marRight w:val="0"/>
          <w:marTop w:val="60"/>
          <w:marBottom w:val="60"/>
          <w:divBdr>
            <w:top w:val="none" w:sz="0" w:space="0" w:color="auto"/>
            <w:left w:val="none" w:sz="0" w:space="0" w:color="auto"/>
            <w:bottom w:val="none" w:sz="0" w:space="0" w:color="auto"/>
            <w:right w:val="none" w:sz="0" w:space="0" w:color="auto"/>
          </w:divBdr>
        </w:div>
        <w:div w:id="265189545">
          <w:marLeft w:val="0"/>
          <w:marRight w:val="0"/>
          <w:marTop w:val="60"/>
          <w:marBottom w:val="60"/>
          <w:divBdr>
            <w:top w:val="none" w:sz="0" w:space="0" w:color="auto"/>
            <w:left w:val="none" w:sz="0" w:space="0" w:color="auto"/>
            <w:bottom w:val="none" w:sz="0" w:space="0" w:color="auto"/>
            <w:right w:val="none" w:sz="0" w:space="0" w:color="auto"/>
          </w:divBdr>
        </w:div>
        <w:div w:id="629432343">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eretfs.com/med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gulatory@MIAXOptions.com" TargetMode="External"/><Relationship Id="rId4" Type="http://schemas.openxmlformats.org/officeDocument/2006/relationships/settings" Target="settings.xml"/><Relationship Id="rId9" Type="http://schemas.openxmlformats.org/officeDocument/2006/relationships/hyperlink" Target="mailto:Listings@MIAXOption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414041"/>
      </a:dk1>
      <a:lt1>
        <a:srgbClr val="FFFFFF"/>
      </a:lt1>
      <a:dk2>
        <a:srgbClr val="F1F2F0"/>
      </a:dk2>
      <a:lt2>
        <a:srgbClr val="F15822"/>
      </a:lt2>
      <a:accent1>
        <a:srgbClr val="FFFEFE"/>
      </a:accent1>
      <a:accent2>
        <a:srgbClr val="FFFEFE"/>
      </a:accent2>
      <a:accent3>
        <a:srgbClr val="FFFEFE"/>
      </a:accent3>
      <a:accent4>
        <a:srgbClr val="FFFEFE"/>
      </a:accent4>
      <a:accent5>
        <a:srgbClr val="FFFFFF"/>
      </a:accent5>
      <a:accent6>
        <a:srgbClr val="FFFFFF"/>
      </a:accent6>
      <a:hlink>
        <a:srgbClr val="FFFEFE"/>
      </a:hlink>
      <a:folHlink>
        <a:srgbClr val="F1582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97582-4720-49C9-8592-E2DDC437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Beck</dc:creator>
  <cp:keywords/>
  <dc:description/>
  <cp:lastModifiedBy>Thomas O'Shaughnessy</cp:lastModifiedBy>
  <cp:revision>2</cp:revision>
  <cp:lastPrinted>2022-01-03T14:47:00Z</cp:lastPrinted>
  <dcterms:created xsi:type="dcterms:W3CDTF">2022-06-09T16:50:00Z</dcterms:created>
  <dcterms:modified xsi:type="dcterms:W3CDTF">2022-06-09T16:50:00Z</dcterms:modified>
</cp:coreProperties>
</file>